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="360" w:lineRule="auto" w:before="240" w:after="120"/>
        <w:ind w:firstLine="0"/>
        <w:jc w:val="center"/>
      </w:pPr>
      <w:r>
        <w:rPr>
          <w:rFonts w:ascii="Times New Roman" w:hAnsi="Times New Roman"/>
          <w:b/>
          <w:i w:val="0"/>
          <w:sz w:val="24"/>
        </w:rPr>
        <w:t>MINUTA DA PORTARIA CONJUNTA Nº ____/202X - SEMAS / IDEFLOR-Bio</w:t>
      </w:r>
    </w:p>
    <w:p>
      <w:pPr>
        <w:spacing w:line="240" w:lineRule="auto" w:before="120" w:after="120"/>
        <w:ind w:left="4252" w:firstLine="0"/>
        <w:jc w:val="both"/>
      </w:pPr>
      <w:r>
        <w:rPr>
          <w:rFonts w:ascii="Times New Roman" w:hAnsi="Times New Roman"/>
          <w:b/>
          <w:i/>
          <w:sz w:val="20"/>
        </w:rPr>
        <w:t>Ementa:</w:t>
      </w:r>
      <w:r>
        <w:rPr>
          <w:rFonts w:ascii="Times New Roman" w:hAnsi="Times New Roman"/>
          <w:b w:val="0"/>
          <w:i/>
          <w:sz w:val="20"/>
        </w:rPr>
        <w:t xml:space="preserve"> Estabelece as diretrizes técnicas, os padrões de arquivos digitais, a regra de nomenclatura, as especificações cartográficas, a regra de contingência, a autenticação por Hash SHA-256 e o modelo de Declaração de Veracidade para o envio de dados e documentos ao Sistema Estadual de Informações sobre Unidades de Conservação do Estado do Pará (SEINUC/PA).</w:t>
      </w:r>
    </w:p>
    <w:p>
      <w:pPr>
        <w:spacing w:line="360" w:lineRule="auto" w:before="240" w:after="240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O SECRETÁRIO DE ESTADO DE MEIO AMBIENTE E SUSTENTABILIDADE (SEMAS/PA)</w:t>
      </w:r>
      <w:r>
        <w:rPr>
          <w:rFonts w:ascii="Times New Roman" w:hAnsi="Times New Roman"/>
          <w:b w:val="0"/>
          <w:i w:val="0"/>
          <w:sz w:val="24"/>
        </w:rPr>
        <w:t xml:space="preserve"> e o </w:t>
      </w:r>
      <w:r>
        <w:rPr>
          <w:rFonts w:ascii="Times New Roman" w:hAnsi="Times New Roman"/>
          <w:b/>
          <w:i w:val="0"/>
          <w:sz w:val="24"/>
        </w:rPr>
        <w:t>PRESIDENTE DO INSTITUTO DE DESENVOLVIMENTO FLORESTAL E DA BIODIVERSIDADE DO ESTADO DO PARÁ (IDEFLOR-Bio)</w:t>
      </w:r>
      <w:r>
        <w:rPr>
          <w:rFonts w:ascii="Times New Roman" w:hAnsi="Times New Roman"/>
          <w:b w:val="0"/>
          <w:i w:val="0"/>
          <w:sz w:val="24"/>
        </w:rPr>
        <w:t>, no uso das atribuições que lhes são conferidas por lei, e tendo em vista o disposto no art. 68 da Lei Estadual nº 10.306, de 22 de dezembro de 2023, e no Decreto Regulamentador do SEINUC/PA,</w:t>
      </w:r>
    </w:p>
    <w:p>
      <w:pPr>
        <w:spacing w:line="360" w:lineRule="auto" w:before="240" w:after="240"/>
        <w:ind w:firstLine="0"/>
        <w:jc w:val="center"/>
      </w:pPr>
      <w:r>
        <w:rPr>
          <w:rFonts w:ascii="Times New Roman" w:hAnsi="Times New Roman"/>
          <w:b/>
          <w:i w:val="0"/>
          <w:sz w:val="24"/>
        </w:rPr>
        <w:t>RESOLVEM:</w:t>
      </w:r>
    </w:p>
    <w:p>
      <w:pPr>
        <w:spacing w:line="360" w:lineRule="auto" w:before="240" w:after="120"/>
        <w:ind w:firstLine="0"/>
        <w:jc w:val="left"/>
      </w:pPr>
      <w:r>
        <w:rPr>
          <w:rFonts w:ascii="Times New Roman" w:hAnsi="Times New Roman"/>
          <w:b/>
          <w:i w:val="0"/>
          <w:sz w:val="24"/>
        </w:rPr>
        <w:t>CAPÍTULO I - DAS DISPOSIÇÕES PRELIMINARES</w:t>
      </w:r>
    </w:p>
    <w:p>
      <w:pPr>
        <w:spacing w:line="360" w:lineRule="auto" w:before="0" w:after="0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Art. 1º</w:t>
      </w:r>
      <w:r>
        <w:rPr>
          <w:rFonts w:ascii="Times New Roman" w:hAnsi="Times New Roman"/>
          <w:b w:val="0"/>
          <w:i w:val="0"/>
          <w:sz w:val="24"/>
        </w:rPr>
        <w:t xml:space="preserve"> Esta Portaria Conjunta estabelece os requisitos técnicos e os padrões formais de apresentação das informações e documentos a serem transmitidos pelos órgãos gestores municipais e executores ao Sistema Estadual de Informações sobre Unidades de Conservação do Estado do Pará (SEINUC/PA), para fins de cadastro, monitoramento e apuração do ICMS Ecológico.</w:t>
      </w:r>
    </w:p>
    <w:p>
      <w:pPr>
        <w:spacing w:line="360" w:lineRule="auto" w:before="240" w:after="120"/>
        <w:ind w:firstLine="0"/>
        <w:jc w:val="left"/>
      </w:pPr>
      <w:r>
        <w:rPr>
          <w:rFonts w:ascii="Times New Roman" w:hAnsi="Times New Roman"/>
          <w:b/>
          <w:i w:val="0"/>
          <w:sz w:val="24"/>
        </w:rPr>
        <w:t>CAPÍTULO II - DOS FORMATOS E PADRÕES DE ARQUIVOS DIGITAIS</w:t>
      </w:r>
    </w:p>
    <w:p>
      <w:pPr>
        <w:spacing w:line="360" w:lineRule="auto" w:before="0" w:after="0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Art. 2º</w:t>
      </w:r>
      <w:r>
        <w:rPr>
          <w:rFonts w:ascii="Times New Roman" w:hAnsi="Times New Roman"/>
          <w:b w:val="0"/>
          <w:i w:val="0"/>
          <w:sz w:val="24"/>
        </w:rPr>
        <w:t xml:space="preserve"> Os documentos textuais, relatórios de gestão, atos administrativos e comprovantes deverão ser transmitidos exclusivamente em meio digital, no formato </w:t>
      </w:r>
      <w:r>
        <w:rPr>
          <w:rFonts w:ascii="Times New Roman" w:hAnsi="Times New Roman"/>
          <w:b/>
          <w:i w:val="0"/>
          <w:sz w:val="24"/>
        </w:rPr>
        <w:t>PDF pesquisável (com camada OCR de reconhecimento óptico de caracteres)</w:t>
      </w:r>
      <w:r>
        <w:rPr>
          <w:rFonts w:ascii="Times New Roman" w:hAnsi="Times New Roman"/>
          <w:b w:val="0"/>
          <w:i w:val="0"/>
          <w:sz w:val="24"/>
        </w:rPr>
        <w:t>.</w:t>
      </w:r>
    </w:p>
    <w:p>
      <w:pPr>
        <w:spacing w:line="360" w:lineRule="auto" w:before="0"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§ 1º Cada arquivo textual em PDF deverá conter obrigatoriamente Folha de Rosto identificando o Ente/UC e Sumário paginado.</w:t>
      </w:r>
    </w:p>
    <w:p>
      <w:pPr>
        <w:spacing w:line="360" w:lineRule="auto" w:before="0"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§ 2º O tamanho máximo por arquivo textual individual é de </w:t>
      </w:r>
      <w:r>
        <w:rPr>
          <w:rFonts w:ascii="Times New Roman" w:hAnsi="Times New Roman"/>
          <w:b/>
          <w:i w:val="0"/>
          <w:sz w:val="24"/>
        </w:rPr>
        <w:t>50 MB (cinquenta megabytes)</w:t>
      </w:r>
      <w:r>
        <w:rPr>
          <w:rFonts w:ascii="Times New Roman" w:hAnsi="Times New Roman"/>
          <w:b w:val="0"/>
          <w:i w:val="0"/>
          <w:sz w:val="24"/>
        </w:rPr>
        <w:t xml:space="preserve">. O tamanho máximo total do pacote compactado de envio por Unidade de Conservação é de </w:t>
      </w:r>
      <w:r>
        <w:rPr>
          <w:rFonts w:ascii="Times New Roman" w:hAnsi="Times New Roman"/>
          <w:b/>
          <w:i w:val="0"/>
          <w:sz w:val="24"/>
        </w:rPr>
        <w:t>200 MB (duzentos megabytes)</w:t>
      </w:r>
      <w:r>
        <w:rPr>
          <w:rFonts w:ascii="Times New Roman" w:hAnsi="Times New Roman"/>
          <w:b w:val="0"/>
          <w:i w:val="0"/>
          <w:sz w:val="24"/>
        </w:rPr>
        <w:t>.</w:t>
      </w:r>
    </w:p>
    <w:p>
      <w:pPr>
        <w:spacing w:line="360" w:lineRule="auto" w:before="0" w:after="0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Art. 3º</w:t>
      </w:r>
      <w:r>
        <w:rPr>
          <w:rFonts w:ascii="Times New Roman" w:hAnsi="Times New Roman"/>
          <w:b w:val="0"/>
          <w:i w:val="0"/>
          <w:sz w:val="24"/>
        </w:rPr>
        <w:t xml:space="preserve"> As bases de dados geoespaciais e vetoriais referente aos limites, zoneamento e Zona de Amortecimento da Unidade de Conservação deverão obedecer aos seguintes parâmetros cartográficos: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Times New Roman" w:hAnsi="Times New Roman"/>
          <w:b/>
          <w:i w:val="0"/>
          <w:sz w:val="24"/>
        </w:rPr>
        <w:t>I - Datum Oficial:</w:t>
      </w:r>
      <w:r>
        <w:rPr>
          <w:rFonts w:ascii="Times New Roman" w:hAnsi="Times New Roman"/>
          <w:b w:val="0"/>
          <w:i w:val="0"/>
          <w:sz w:val="24"/>
        </w:rPr>
        <w:t xml:space="preserve"> </w:t>
      </w:r>
      <w:r>
        <w:rPr>
          <w:rFonts w:ascii="Times New Roman" w:hAnsi="Times New Roman"/>
          <w:b/>
          <w:i w:val="0"/>
          <w:sz w:val="24"/>
        </w:rPr>
        <w:t>SIRGAS 2000 (EPSG:4674)</w:t>
      </w:r>
      <w:r>
        <w:rPr>
          <w:rFonts w:ascii="Times New Roman" w:hAnsi="Times New Roman"/>
          <w:b w:val="0"/>
          <w:i w:val="0"/>
          <w:sz w:val="24"/>
        </w:rPr>
        <w:t xml:space="preserve"> - Coordenadas Geográficas;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Times New Roman" w:hAnsi="Times New Roman"/>
          <w:b/>
          <w:i w:val="0"/>
          <w:sz w:val="24"/>
        </w:rPr>
        <w:t>II - Formatos Aceitos:</w:t>
      </w:r>
      <w:r>
        <w:rPr>
          <w:rFonts w:ascii="Times New Roman" w:hAnsi="Times New Roman"/>
          <w:b w:val="0"/>
          <w:i w:val="0"/>
          <w:sz w:val="24"/>
        </w:rPr>
        <w:t xml:space="preserve"> Pacote </w:t>
      </w:r>
      <w:r>
        <w:rPr>
          <w:rFonts w:ascii="Times New Roman" w:hAnsi="Times New Roman"/>
          <w:b/>
          <w:i w:val="0"/>
          <w:sz w:val="24"/>
        </w:rPr>
        <w:t>Shapefile (.shp, .shx, .dbf, .prj, .cpg)</w:t>
      </w:r>
      <w:r>
        <w:rPr>
          <w:rFonts w:ascii="Times New Roman" w:hAnsi="Times New Roman"/>
          <w:b w:val="0"/>
          <w:i w:val="0"/>
          <w:sz w:val="24"/>
        </w:rPr>
        <w:t xml:space="preserve"> compactado em formato </w:t>
      </w:r>
      <w:r>
        <w:rPr>
          <w:rFonts w:ascii="Consolas" w:hAnsi="Consolas"/>
          <w:color w:val="003366"/>
          <w:sz w:val="20"/>
        </w:rPr>
        <w:t>.zip</w:t>
      </w:r>
      <w:r>
        <w:rPr>
          <w:rFonts w:ascii="Times New Roman" w:hAnsi="Times New Roman"/>
          <w:b w:val="0"/>
          <w:i w:val="0"/>
          <w:sz w:val="24"/>
        </w:rPr>
        <w:t>, GeoPackage (</w:t>
      </w:r>
      <w:r>
        <w:rPr>
          <w:rFonts w:ascii="Consolas" w:hAnsi="Consolas"/>
          <w:color w:val="003366"/>
          <w:sz w:val="20"/>
        </w:rPr>
        <w:t>.gpkg</w:t>
      </w:r>
      <w:r>
        <w:rPr>
          <w:rFonts w:ascii="Times New Roman" w:hAnsi="Times New Roman"/>
          <w:b w:val="0"/>
          <w:i w:val="0"/>
          <w:sz w:val="24"/>
        </w:rPr>
        <w:t>), GML ou GeoJSON (com reprojeção automatizada para CRS84);</w:t>
      </w:r>
    </w:p>
    <w:p>
      <w:pPr>
        <w:spacing w:line="360" w:lineRule="auto" w:before="0" w:after="40"/>
        <w:ind w:left="709" w:hanging="283"/>
        <w:jc w:val="both"/>
      </w:pPr>
      <w:r>
        <w:rPr>
          <w:rFonts w:ascii="Times New Roman" w:hAnsi="Times New Roman"/>
          <w:b w:val="0"/>
          <w:i w:val="0"/>
          <w:sz w:val="24"/>
        </w:rPr>
        <w:t xml:space="preserve">• </w:t>
      </w:r>
      <w:r>
        <w:rPr>
          <w:rFonts w:ascii="Times New Roman" w:hAnsi="Times New Roman"/>
          <w:b/>
          <w:i w:val="0"/>
          <w:sz w:val="24"/>
        </w:rPr>
        <w:t>III - Topologia:</w:t>
      </w:r>
      <w:r>
        <w:rPr>
          <w:rFonts w:ascii="Times New Roman" w:hAnsi="Times New Roman"/>
          <w:b w:val="0"/>
          <w:i w:val="0"/>
          <w:sz w:val="24"/>
        </w:rPr>
        <w:t xml:space="preserve"> As geometrias de polígono deverão apresentar fecho topológico perfeito, isentas de laços, vértices duplicados, sobreposições não justificadas ou lacunas (</w:t>
      </w:r>
      <w:r>
        <w:rPr>
          <w:rFonts w:ascii="Times New Roman" w:hAnsi="Times New Roman"/>
          <w:b w:val="0"/>
          <w:i/>
          <w:sz w:val="24"/>
        </w:rPr>
        <w:t>gap/overlap zero</w:t>
      </w:r>
      <w:r>
        <w:rPr>
          <w:rFonts w:ascii="Times New Roman" w:hAnsi="Times New Roman"/>
          <w:b w:val="0"/>
          <w:i w:val="0"/>
          <w:sz w:val="24"/>
        </w:rPr>
        <w:t>).</w:t>
      </w:r>
    </w:p>
    <w:p>
      <w:pPr>
        <w:spacing w:line="360" w:lineRule="auto" w:before="240" w:after="120"/>
        <w:ind w:firstLine="0"/>
        <w:jc w:val="left"/>
      </w:pPr>
      <w:r>
        <w:rPr>
          <w:rFonts w:ascii="Times New Roman" w:hAnsi="Times New Roman"/>
          <w:b/>
          <w:i w:val="0"/>
          <w:sz w:val="24"/>
        </w:rPr>
        <w:t>CAPÍTULO III - DA PADRONIZAÇÃO DA NOMENCLATURA E CONTINGÊNCIA</w:t>
      </w:r>
    </w:p>
    <w:p>
      <w:pPr>
        <w:spacing w:line="360" w:lineRule="auto" w:before="0" w:after="0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Art. 4º</w:t>
      </w:r>
      <w:r>
        <w:rPr>
          <w:rFonts w:ascii="Times New Roman" w:hAnsi="Times New Roman"/>
          <w:b w:val="0"/>
          <w:i w:val="0"/>
          <w:sz w:val="24"/>
        </w:rPr>
        <w:t xml:space="preserve"> É obrigatória a adoção do padrão estrito de nomenclatura para a transmissão de arquivos no SEINUC/PA:</w:t>
      </w:r>
    </w:p>
    <w:p>
      <w:pPr>
        <w:spacing w:line="360" w:lineRule="auto" w:before="0" w:after="0"/>
        <w:ind w:firstLine="709"/>
        <w:jc w:val="both"/>
      </w:pPr>
      <w:r>
        <w:rPr>
          <w:rFonts w:ascii="Consolas" w:hAnsi="Consolas"/>
          <w:color w:val="003366"/>
          <w:sz w:val="20"/>
        </w:rPr>
        <w:t>[CODIGO_IBGE_MUNICIPIO]_[SIGLA_UC]_[BLOCO]_[ANO_BASE].[extensao]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space="0" w:color="000000"/>
          <w:bottom w:val="single" w:sz="6" w:space="0" w:color="000000"/>
          <w:insideH w:val="single" w:sz="4" w:space="0" w:color="E0E0E0"/>
          <w:left w:val="none"/>
          <w:right w:val="none"/>
          <w:insideV w:val="none"/>
        </w:tblBorders>
      </w:tblPr>
      <w:tblGrid>
        <w:gridCol w:w="4702"/>
        <w:gridCol w:w="4702"/>
      </w:tblGrid>
      <w:tr>
        <w:tc>
          <w:tcPr>
            <w:tcW w:type="dxa" w:w="4702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Times New Roman" w:hAnsi="Times New Roman"/>
                <w:b/>
                <w:i/>
                <w:sz w:val="20"/>
              </w:rPr>
              <w:t xml:space="preserve"> </w:t>
            </w:r>
            <w:r>
              <w:rPr>
                <w:rFonts w:ascii="Times New Roman" w:hAnsi="Times New Roman"/>
                <w:b/>
                <w:i w:val="0"/>
                <w:sz w:val="20"/>
              </w:rPr>
              <w:t xml:space="preserve">Exemplo:* </w:t>
            </w:r>
            <w:r>
              <w:rPr>
                <w:rFonts w:ascii="Consolas" w:hAnsi="Consolas"/>
                <w:color w:val="003366"/>
                <w:sz w:val="20"/>
              </w:rPr>
              <w:t>1505502_APA_BOSQUE_Q3_2025.pdf</w:t>
            </w:r>
          </w:p>
        </w:tc>
        <w:tc>
          <w:tcPr>
            <w:tcW w:type="dxa" w:w="4702"/>
            <w:tcMar>
              <w:top w:w="100" w:type="dxa"/>
              <w:bottom w:w="100" w:type="dxa"/>
              <w:left w:w="120" w:type="dxa"/>
              <w:right w:w="120" w:type="dxa"/>
            </w:tcMar>
            <w:shd w:fill="F2F2F2"/>
          </w:tcPr>
          <w:p>
            <w:pPr>
              <w:spacing w:line="240" w:lineRule="auto" w:before="40" w:after="40"/>
              <w:ind w:firstLine="0"/>
              <w:jc w:val="center"/>
            </w:pPr>
            <w:r>
              <w:rPr>
                <w:rFonts w:ascii="Consolas" w:hAnsi="Consolas"/>
                <w:color w:val="003366"/>
                <w:sz w:val="20"/>
              </w:rPr>
              <w:t>1505502_APA_BOSQUE_VETOR_2025.zip</w:t>
            </w:r>
          </w:p>
        </w:tc>
      </w:tr>
    </w:tbl>
    <w:p>
      <w:pPr>
        <w:spacing w:after="120" w:line="240" w:lineRule="auto"/>
      </w:pPr>
    </w:p>
    <w:p>
      <w:pPr>
        <w:spacing w:line="360" w:lineRule="auto" w:before="0" w:after="0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Art. 5º</w:t>
      </w:r>
      <w:r>
        <w:rPr>
          <w:rFonts w:ascii="Times New Roman" w:hAnsi="Times New Roman"/>
          <w:b w:val="0"/>
          <w:i w:val="0"/>
          <w:sz w:val="24"/>
        </w:rPr>
        <w:t xml:space="preserve"> O prazo de envio se encerrará às 23h59min do dia </w:t>
      </w:r>
      <w:r>
        <w:rPr>
          <w:rFonts w:ascii="Times New Roman" w:hAnsi="Times New Roman"/>
          <w:b/>
          <w:i w:val="0"/>
          <w:sz w:val="24"/>
        </w:rPr>
        <w:t>31 de janeiro do Ano de Exercício</w:t>
      </w:r>
      <w:r>
        <w:rPr>
          <w:rFonts w:ascii="Times New Roman" w:hAnsi="Times New Roman"/>
          <w:b w:val="0"/>
          <w:i w:val="0"/>
          <w:sz w:val="24"/>
        </w:rPr>
        <w:t>.</w:t>
      </w:r>
    </w:p>
    <w:p>
      <w:pPr>
        <w:spacing w:line="360" w:lineRule="auto" w:before="0"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§ 1º Caso ocorra indisponibilidade técnica comprovada do portal de transmissão oficial nas últimas 24 horas do prazo regulamentar, o termo final de transmissão será automaticamente prorrogado para as 23h59min do primeiro dia útil subsequente.</w:t>
      </w:r>
    </w:p>
    <w:p>
      <w:pPr>
        <w:spacing w:line="360" w:lineRule="auto" w:before="0"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§ 2º É facultado ao município apresentar justificativa formal de força maior ou falha comprovada no servidor local em até 2 (dois) dias úteis após o encerramento do prazo, submetendo o requerimento de aceitação extemporânea à deliberação motivada da CT-SEINUC.</w:t>
      </w:r>
    </w:p>
    <w:p>
      <w:pPr>
        <w:spacing w:line="360" w:lineRule="auto" w:before="240" w:after="120"/>
        <w:ind w:firstLine="0"/>
        <w:jc w:val="left"/>
      </w:pPr>
      <w:r>
        <w:rPr>
          <w:rFonts w:ascii="Times New Roman" w:hAnsi="Times New Roman"/>
          <w:b/>
          <w:i w:val="0"/>
          <w:sz w:val="24"/>
        </w:rPr>
        <w:t>CAPÍTULO IV - DA AUTENTICAÇÃO INTEGRADA E DECLARAÇÃO DE VERACIDADE</w:t>
      </w:r>
    </w:p>
    <w:p>
      <w:pPr>
        <w:spacing w:line="360" w:lineRule="auto" w:before="0" w:after="0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Art. 6º</w:t>
      </w:r>
      <w:r>
        <w:rPr>
          <w:rFonts w:ascii="Times New Roman" w:hAnsi="Times New Roman"/>
          <w:b w:val="0"/>
          <w:i w:val="0"/>
          <w:sz w:val="24"/>
        </w:rPr>
        <w:t xml:space="preserve"> Ao finalizar o upload do pacote no portal eletrônico oficial do SEINUC/PA, o sistema gerará o Comprovante de Protocolo Digital contendo o código </w:t>
      </w:r>
      <w:r>
        <w:rPr>
          <w:rFonts w:ascii="Times New Roman" w:hAnsi="Times New Roman"/>
          <w:b/>
          <w:i w:val="0"/>
          <w:sz w:val="24"/>
        </w:rPr>
        <w:t>Hash SHA-256 de Autenticidade Integrada</w:t>
      </w:r>
      <w:r>
        <w:rPr>
          <w:rFonts w:ascii="Times New Roman" w:hAnsi="Times New Roman"/>
          <w:b w:val="0"/>
          <w:i w:val="0"/>
          <w:sz w:val="24"/>
        </w:rPr>
        <w:t xml:space="preserve"> e o carimbo de data/hora oficial.</w:t>
      </w:r>
    </w:p>
    <w:p>
      <w:pPr>
        <w:spacing w:line="360" w:lineRule="auto" w:before="0" w:after="0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Art. 7º</w:t>
      </w:r>
      <w:r>
        <w:rPr>
          <w:rFonts w:ascii="Times New Roman" w:hAnsi="Times New Roman"/>
          <w:b w:val="0"/>
          <w:i w:val="0"/>
          <w:sz w:val="24"/>
        </w:rPr>
        <w:t xml:space="preserve"> Todo protocolo de envio no SEINUC/PA deverá vir acompanhado da </w:t>
      </w:r>
      <w:r>
        <w:rPr>
          <w:rFonts w:ascii="Times New Roman" w:hAnsi="Times New Roman"/>
          <w:b/>
          <w:i w:val="0"/>
          <w:sz w:val="24"/>
        </w:rPr>
        <w:t>Declaração de Veracidade e Responsabilidade Técnica</w:t>
      </w:r>
      <w:r>
        <w:rPr>
          <w:rFonts w:ascii="Times New Roman" w:hAnsi="Times New Roman"/>
          <w:b w:val="0"/>
          <w:i w:val="0"/>
          <w:sz w:val="24"/>
        </w:rPr>
        <w:t>, conforme modelo constante no Anexo I desta Portaria.</w:t>
      </w:r>
    </w:p>
    <w:p>
      <w:pPr>
        <w:spacing w:line="360" w:lineRule="auto" w:before="0" w:after="0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§ 1º A Declaração de Veracidade deverá ser assinada digitalmente (padrão ICP-Brasil ou Gov.br com selo de tempo) pelo Prefeito Municipal, Secretário Municipal de Meio Ambiente ou Gestor responsável da Unidade de Conservação.</w:t>
      </w:r>
    </w:p>
    <w:p>
      <w:pPr>
        <w:spacing w:line="360" w:lineRule="auto" w:before="240" w:after="120"/>
        <w:ind w:firstLine="0"/>
        <w:jc w:val="left"/>
      </w:pPr>
      <w:r>
        <w:rPr>
          <w:rFonts w:ascii="Times New Roman" w:hAnsi="Times New Roman"/>
          <w:b/>
          <w:i w:val="0"/>
          <w:sz w:val="24"/>
        </w:rPr>
        <w:t>CAPÍTULO V - DISPOSIÇÕES FINAIS</w:t>
      </w:r>
    </w:p>
    <w:p>
      <w:pPr>
        <w:spacing w:line="360" w:lineRule="auto" w:before="0" w:after="0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Art. 8º</w:t>
      </w:r>
      <w:r>
        <w:rPr>
          <w:rFonts w:ascii="Times New Roman" w:hAnsi="Times New Roman"/>
          <w:b w:val="0"/>
          <w:i w:val="0"/>
          <w:sz w:val="24"/>
        </w:rPr>
        <w:t xml:space="preserve"> Esta Portaria entra em vigor na data de sua publicação.</w:t>
      </w:r>
    </w:p>
    <w:p>
      <w:pPr>
        <w:spacing w:line="360" w:lineRule="auto" w:before="240" w:after="120"/>
        <w:ind w:firstLine="0"/>
        <w:jc w:val="left"/>
      </w:pPr>
      <w:r>
        <w:rPr>
          <w:rFonts w:ascii="Times New Roman" w:hAnsi="Times New Roman"/>
          <w:b/>
          <w:i w:val="0"/>
          <w:sz w:val="24"/>
        </w:rPr>
        <w:t>ANEXO I - MODELO DE DECLARAÇÃO DE VERACIDADE E RESPONSABILIDADE TÉCNICA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CCCCCC"/>
          <w:bottom w:val="single" w:sz="4" w:space="0" w:color="CCCCCC"/>
          <w:left w:val="single" w:sz="12" w:space="0" w:color="003366"/>
          <w:right w:val="single" w:sz="4" w:space="0" w:color="CCCCCC"/>
          <w:insideH w:val="none"/>
          <w:insideV w:val="none"/>
        </w:tblBorders>
      </w:tblPr>
      <w:tblGrid>
        <w:gridCol w:w="9405"/>
      </w:tblGrid>
      <w:tr>
        <w:tc>
          <w:tcPr>
            <w:tcW w:type="dxa" w:w="9405"/>
            <w:shd w:fill="F4F6F8"/>
            <w:tcMar>
              <w:top w:w="120" w:type="dxa"/>
              <w:bottom w:w="120" w:type="dxa"/>
              <w:left w:w="180" w:type="dxa"/>
              <w:right w:w="180" w:type="dxa"/>
            </w:tcMar>
          </w:tcPr>
          <w:p>
            <w:pPr>
              <w:spacing w:line="240" w:lineRule="auto" w:before="80" w:after="80"/>
              <w:ind w:firstLine="0"/>
            </w:pPr>
            <w:r>
              <w:rPr>
                <w:rFonts w:ascii="Consolas" w:hAnsi="Consolas"/>
                <w:color w:val="1E1E1E"/>
                <w:sz w:val="19"/>
              </w:rPr>
              <w:t>DECLARAÇÃO DE VERACIDADE E RESPONSABILIDADE TÉCNICA</w:t>
              <w:br/>
              <w:br/>
              <w:t>Eu, [NOME DO DECLARANTE], inscrito(a) no CPF sob o nº [CPF], ocupante do cargo de [CARGO/FUNÇÃO], representando o município/órgão gestor [NOME DO MUNICÍPIO OU ENTIDADE], DECLARO, sob as penas da lei, para fins de cadastramento e instrução do processo no Sistema Estadual de Informações sobre Unidades de Conservação do Estado do Pará (SEINUC/PA) relativo ao Ano-Base [ANO_BASE]:</w:t>
              <w:br/>
              <w:br/>
              <w:t>1. Que todas as informações, relatórios, atas e dados vetoriais apresentados referentes à Unidade de Conservação [NOME DA UNIDADE DE CONSERVAÇÃO] são autênticos, fidedignos e expressam a exata verdade dos fatos ocorridos no Ano-Base.</w:t>
              <w:br/>
              <w:t>2. Que os dados vetoriais encaminhados obedecem ao Datum SIRGAS 2000 (EPSG:4674) e refletem a real delimitação territorial e Zona de Amortecimento da Unidade de Conservação.</w:t>
              <w:br/>
              <w:t>3. Estar ciente de que a inserção de informações falsas ou a adulteração de documentos sujeitará o subscritor às sanções administrativas, civis e penais previstas na Lei Federal nº 9.605/1998, no Código Penal Brasileiro e à glosa cautelar da pontuação no ICMS Ecológico sob o rito da Lei Estadual nº 8.972/2020.</w:t>
              <w:br/>
              <w:br/>
              <w:t>[CIDADE - PA], _____ de _______________ de 202X.</w:t>
              <w:br/>
              <w:br/>
              <w:t>___________________________________________________</w:t>
              <w:br/>
              <w:t>[NOME DO DECLARANTE]</w:t>
              <w:br/>
              <w:t>[CARGO E INSTITUIÇÃO]</w:t>
              <w:br/>
              <w:t>Assinatura Digital (Gov.br ou ICP-Brasil com Carimbo de Tempo)</w:t>
            </w:r>
          </w:p>
        </w:tc>
      </w:tr>
    </w:tbl>
    <w:p>
      <w:pPr>
        <w:spacing w:after="120" w:line="240" w:lineRule="auto"/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701" w:right="1134" w:bottom="1134" w:left="1701" w:header="709" w:footer="709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/>
        <w:i/>
        <w:color w:val="787878"/>
        <w:sz w:val="17"/>
      </w:rPr>
      <w:t>Documento Oficial de Regulamentação e Especificação Técnica • Minuta Portaria Diretrizes Tecnicas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/>
        <w:i/>
        <w:color w:val="787878"/>
        <w:sz w:val="17"/>
      </w:rPr>
      <w:t>SEINUC/PA — GOVERNO DO ESTADO DO PARÁ / IDEFLOR-Bio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 w:before="0" w:after="0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