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20"/>
        <w:ind w:firstLine="0"/>
        <w:jc w:val="center"/>
      </w:pPr>
      <w:r>
        <w:rPr>
          <w:rFonts w:ascii="Times New Roman" w:hAnsi="Times New Roman"/>
          <w:b/>
          <w:i w:val="0"/>
          <w:sz w:val="24"/>
        </w:rPr>
        <w:t>MINUTA DO DECRETO REGULAMENTADOR DO SEINUC/PA</w:t>
      </w:r>
    </w:p>
    <w:p>
      <w:pPr>
        <w:spacing w:line="240" w:lineRule="auto" w:before="120" w:after="120"/>
        <w:ind w:left="4252" w:firstLine="0"/>
        <w:jc w:val="both"/>
      </w:pPr>
      <w:r>
        <w:rPr>
          <w:rFonts w:ascii="Times New Roman" w:hAnsi="Times New Roman"/>
          <w:b/>
          <w:i/>
          <w:sz w:val="20"/>
        </w:rPr>
        <w:t>Ementa:</w:t>
      </w:r>
      <w:r>
        <w:rPr>
          <w:rFonts w:ascii="Times New Roman" w:hAnsi="Times New Roman"/>
          <w:b w:val="0"/>
          <w:i/>
          <w:sz w:val="20"/>
        </w:rPr>
        <w:t xml:space="preserve"> Regulamenta o Sistema Estadual de Informações sobre Unidades de Conservação do Estado do Pará (SEINUC/PA), instituído pela Lei Estadual nº 10.306, de 22 de dezembro de 2023, disciplina a governança entre o órgão central (SEMAS) e o órgão executor (IDEFLOR-Bio), estabelece a sincronização com o calendário do ICMS Verde (Decreto Estadual nº 1.064/2020), fixa o rito recursal em dias úteis (Lei Estadual nº 8.972/2020 - LEPA), dispõe sobre o sigilo da biodiversidade, a proteção de dados pessoais (LGPD - Lei nº 13.709/2018), o patrimônio genético (Lei nº 13.123/2015 - SisGen) e dá outras providências.</w:t>
      </w:r>
    </w:p>
    <w:p>
      <w:pPr>
        <w:spacing w:line="360" w:lineRule="auto" w:before="240" w:after="240"/>
        <w:ind w:firstLine="709"/>
        <w:jc w:val="both"/>
      </w:pPr>
      <w:r>
        <w:rPr>
          <w:rFonts w:ascii="Times New Roman" w:hAnsi="Times New Roman"/>
          <w:b/>
          <w:i w:val="0"/>
          <w:sz w:val="24"/>
        </w:rPr>
        <w:t>O GOVERNADOR DO ESTADO DO PARÁ</w:t>
      </w:r>
      <w:r>
        <w:rPr>
          <w:rFonts w:ascii="Times New Roman" w:hAnsi="Times New Roman"/>
          <w:b w:val="0"/>
          <w:i w:val="0"/>
          <w:sz w:val="24"/>
        </w:rPr>
        <w:t>, no uso das atribuições que lhe são conferidas pelo art. 135, inciso V, da Constituição Estadual, e considerando o disposto nos arts. 67, 68, 110, 111, 113 e 114 da Lei Estadual nº 10.306, de 22 de dezembro de 2023, na Lei Estadual nº 8.096, de 1º de janeiro de 2015, na Lei Estadual nº 7.638, de 12 de julho de 2012, no Decreto Estadual nº 1.064, de 28 de setembro de 2020, na Lei Estadual nº 8.972, de 13 de janeiro de 2020 (Lei de Processo Administrativo do Estado do Pará - LEPA), e em observância às normas gerais da Lei Federal nº 9.985, de 18 de julho de 2000, da Lei Federal nº 12.527, de 18 de novembro de 2011, e da Lei Federal nº 13.123, de 20 de maio de 2015,</w:t>
      </w:r>
    </w:p>
    <w:p>
      <w:pPr>
        <w:spacing w:line="360" w:lineRule="auto" w:before="240" w:after="240"/>
        <w:ind w:firstLine="0"/>
        <w:jc w:val="center"/>
      </w:pPr>
      <w:r>
        <w:rPr>
          <w:rFonts w:ascii="Times New Roman" w:hAnsi="Times New Roman"/>
          <w:b/>
          <w:i w:val="0"/>
          <w:sz w:val="24"/>
        </w:rPr>
        <w:t>DECRETA:</w:t>
      </w:r>
    </w:p>
    <w:p>
      <w:pPr>
        <w:spacing w:line="360" w:lineRule="auto" w:before="240" w:after="120"/>
        <w:ind w:firstLine="0"/>
        <w:jc w:val="left"/>
      </w:pPr>
      <w:r>
        <w:rPr>
          <w:rFonts w:ascii="Times New Roman" w:hAnsi="Times New Roman"/>
          <w:b/>
          <w:i w:val="0"/>
          <w:sz w:val="24"/>
        </w:rPr>
        <w:t>CAPÍTULO I - DAS DISPOSIÇÕES GERAIS, INSTITUIÇÃO E OBJETIVOS</w:t>
      </w:r>
    </w:p>
    <w:p>
      <w:pPr>
        <w:spacing w:line="360" w:lineRule="auto" w:before="0" w:after="0"/>
        <w:ind w:firstLine="709"/>
        <w:jc w:val="both"/>
      </w:pPr>
      <w:r>
        <w:rPr>
          <w:rFonts w:ascii="Times New Roman" w:hAnsi="Times New Roman"/>
          <w:b/>
          <w:i w:val="0"/>
          <w:sz w:val="24"/>
        </w:rPr>
        <w:t>Art. 1º</w:t>
      </w:r>
      <w:r>
        <w:rPr>
          <w:rFonts w:ascii="Times New Roman" w:hAnsi="Times New Roman"/>
          <w:b w:val="0"/>
          <w:i w:val="0"/>
          <w:sz w:val="24"/>
        </w:rPr>
        <w:t xml:space="preserve"> Este Decreto regulamenta a organização, a implementação, a operacionalização e a gestão do Sistema Estadual de Informações sobre Unidades de Conservação do Estado do Pará (SEINUC/PA), como a plataforma e banco de dados oficial com informações padronizadas das Unidades de Conservação (UCs) estaduais e municipais, bem como das Reservas Particulares do Patrimônio Natural (RPPNs) localizadas no Estado do Pará.</w:t>
      </w:r>
    </w:p>
    <w:p>
      <w:pPr>
        <w:spacing w:line="360" w:lineRule="auto" w:before="0" w:after="0"/>
        <w:ind w:firstLine="709"/>
        <w:jc w:val="both"/>
      </w:pPr>
      <w:r>
        <w:rPr>
          <w:rFonts w:ascii="Times New Roman" w:hAnsi="Times New Roman"/>
          <w:b/>
          <w:i w:val="0"/>
          <w:sz w:val="24"/>
        </w:rPr>
        <w:t>Art. 2º</w:t>
      </w:r>
      <w:r>
        <w:rPr>
          <w:rFonts w:ascii="Times New Roman" w:hAnsi="Times New Roman"/>
          <w:b w:val="0"/>
          <w:i w:val="0"/>
          <w:sz w:val="24"/>
        </w:rPr>
        <w:t xml:space="preserve"> Nos termos do art. 68, </w:t>
      </w:r>
      <w:r>
        <w:rPr>
          <w:rFonts w:ascii="Times New Roman" w:hAnsi="Times New Roman"/>
          <w:b w:val="0"/>
          <w:i/>
          <w:sz w:val="24"/>
        </w:rPr>
        <w:t>caput</w:t>
      </w:r>
      <w:r>
        <w:rPr>
          <w:rFonts w:ascii="Times New Roman" w:hAnsi="Times New Roman"/>
          <w:b w:val="0"/>
          <w:i w:val="0"/>
          <w:sz w:val="24"/>
        </w:rPr>
        <w:t>, da Lei Estadual nº 10.306/2023, a Secretaria de Estado de Meio Ambiente e Sustentabilidade (SEMAS), na qualidade de órgão central do Sistema Estadual de Unidades de Conservação da Natureza (SEUC/PA), organizará e manterá o SEINUC/PA, com a colaboração executiva do Instituto de Desenvolvimento Florestal e da Biodiversidade do Estado do Pará (IDEFLOR-Bio) e dos demais integrantes do SEUC.</w:t>
      </w:r>
    </w:p>
    <w:p>
      <w:pPr>
        <w:spacing w:line="360" w:lineRule="auto" w:before="0" w:after="0"/>
        <w:ind w:firstLine="709"/>
        <w:jc w:val="both"/>
      </w:pPr>
      <w:r>
        <w:rPr>
          <w:rFonts w:ascii="Times New Roman" w:hAnsi="Times New Roman"/>
          <w:b/>
          <w:i w:val="0"/>
          <w:sz w:val="24"/>
        </w:rPr>
        <w:t>Art. 3º</w:t>
      </w:r>
      <w:r>
        <w:rPr>
          <w:rFonts w:ascii="Times New Roman" w:hAnsi="Times New Roman"/>
          <w:b w:val="0"/>
          <w:i w:val="0"/>
          <w:sz w:val="24"/>
        </w:rPr>
        <w:t xml:space="preserve"> O SEINUC/PA tem por finalidades precípuas:</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 -</w:t>
      </w:r>
      <w:r>
        <w:rPr>
          <w:rFonts w:ascii="Times New Roman" w:hAnsi="Times New Roman"/>
          <w:b w:val="0"/>
          <w:i w:val="0"/>
          <w:sz w:val="24"/>
        </w:rPr>
        <w:t xml:space="preserve"> Subsidiar a gestão do SEUC/PA nas fases de criação, planejamento, controle, fiscalização, monitoramento e promoção de programas de pesquisa científica;</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 -</w:t>
      </w:r>
      <w:r>
        <w:rPr>
          <w:rFonts w:ascii="Times New Roman" w:hAnsi="Times New Roman"/>
          <w:b w:val="0"/>
          <w:i w:val="0"/>
          <w:sz w:val="24"/>
        </w:rPr>
        <w:t xml:space="preserve"> Integrar a base oficial de dados para o monitoramento e cálculo da parcela ambiental do ICMS Ecológico/Verde devida aos municípios, conforme a Lei Estadual nº 7.638/2012 e o Decreto Estadual nº 1.064/2020;</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III -</w:t>
      </w:r>
      <w:r>
        <w:rPr>
          <w:rFonts w:ascii="Times New Roman" w:hAnsi="Times New Roman"/>
          <w:b w:val="0"/>
          <w:i w:val="0"/>
          <w:sz w:val="24"/>
        </w:rPr>
        <w:t xml:space="preserve"> Garantir o controle social por meio da transparência ativa, em conformidade com a Lei Federal nº 12.527/2011 (LAI) e a Lei Federal nº 13.709/2018 (LGPD), ressalvadas as informações cujo sigilo seja imprescindível à proteção da biodiversidade e do patrimônio genético;</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IV -</w:t>
      </w:r>
      <w:r>
        <w:rPr>
          <w:rFonts w:ascii="Times New Roman" w:hAnsi="Times New Roman"/>
          <w:b w:val="0"/>
          <w:i w:val="0"/>
          <w:sz w:val="24"/>
        </w:rPr>
        <w:t xml:space="preserve"> Promover a integração automatizada com o Cadastro Nacional de Unidades de Conservação (CNUC), do Ministério do Meio Ambiente e Mudança do Clima.</w:t>
      </w:r>
    </w:p>
    <w:p>
      <w:pPr>
        <w:spacing w:line="360" w:lineRule="auto" w:before="240" w:after="120"/>
        <w:ind w:firstLine="0"/>
        <w:jc w:val="left"/>
      </w:pPr>
      <w:r>
        <w:rPr>
          <w:rFonts w:ascii="Times New Roman" w:hAnsi="Times New Roman"/>
          <w:b/>
          <w:i w:val="0"/>
          <w:sz w:val="24"/>
        </w:rPr>
        <w:t>CAPÍTULO II - DA ARQUITETURA DE DADOS E MÓDULOS TEMÁTICOS</w:t>
      </w:r>
    </w:p>
    <w:p>
      <w:pPr>
        <w:spacing w:line="360" w:lineRule="auto" w:before="0" w:after="0"/>
        <w:ind w:firstLine="709"/>
        <w:jc w:val="both"/>
      </w:pPr>
      <w:r>
        <w:rPr>
          <w:rFonts w:ascii="Times New Roman" w:hAnsi="Times New Roman"/>
          <w:b/>
          <w:i w:val="0"/>
          <w:sz w:val="24"/>
        </w:rPr>
        <w:t>Art. 4º</w:t>
      </w:r>
      <w:r>
        <w:rPr>
          <w:rFonts w:ascii="Times New Roman" w:hAnsi="Times New Roman"/>
          <w:b w:val="0"/>
          <w:i w:val="0"/>
          <w:sz w:val="24"/>
        </w:rPr>
        <w:t xml:space="preserve"> O SEINUC/PA é estruturado de forma modular e dinâmica, compreendendo os seguintes eixos temáticos:</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 - Módulo I (Caracterização Ambiental, Biodiversidade e Clima):</w:t>
      </w:r>
    </w:p>
    <w:p>
      <w:pPr>
        <w:spacing w:line="360" w:lineRule="auto" w:before="0" w:after="40"/>
        <w:ind w:left="709" w:hanging="283"/>
        <w:jc w:val="both"/>
      </w:pPr>
      <w:r>
        <w:rPr>
          <w:rFonts w:ascii="Times New Roman" w:hAnsi="Times New Roman"/>
          <w:b w:val="0"/>
          <w:i w:val="0"/>
          <w:sz w:val="24"/>
        </w:rPr>
        <w:t>• a) inventários bióticos de fauna e flora, espécies autóctones, endêmicas e ameaçadas de extinção;</w:t>
      </w:r>
    </w:p>
    <w:p>
      <w:pPr>
        <w:spacing w:line="360" w:lineRule="auto" w:before="0" w:after="40"/>
        <w:ind w:left="709" w:hanging="283"/>
        <w:jc w:val="both"/>
      </w:pPr>
      <w:r>
        <w:rPr>
          <w:rFonts w:ascii="Times New Roman" w:hAnsi="Times New Roman"/>
          <w:b w:val="0"/>
          <w:i w:val="0"/>
          <w:sz w:val="24"/>
        </w:rPr>
        <w:t>• b) caracterização abiótica, incluindo recursos hídricos, bacias hidrográficas, solos, relevo, clima e paisagem;</w:t>
      </w:r>
    </w:p>
    <w:p>
      <w:pPr>
        <w:spacing w:line="360" w:lineRule="auto" w:before="0" w:after="40"/>
        <w:ind w:left="709" w:hanging="283"/>
        <w:jc w:val="both"/>
      </w:pPr>
      <w:r>
        <w:rPr>
          <w:rFonts w:ascii="Times New Roman" w:hAnsi="Times New Roman"/>
          <w:b w:val="0"/>
          <w:i w:val="0"/>
          <w:sz w:val="24"/>
        </w:rPr>
        <w:t>• c) cadastro de espécies exóticas invasoras e respectivos planos de controle e erradicação.</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 - Módulo II (Geotecnologias, Delimitação e Zonas de Amortecimento):</w:t>
      </w:r>
    </w:p>
    <w:p>
      <w:pPr>
        <w:spacing w:line="360" w:lineRule="auto" w:before="0" w:after="40"/>
        <w:ind w:left="709" w:hanging="283"/>
        <w:jc w:val="both"/>
      </w:pPr>
      <w:r>
        <w:rPr>
          <w:rFonts w:ascii="Times New Roman" w:hAnsi="Times New Roman"/>
          <w:b w:val="0"/>
          <w:i w:val="0"/>
          <w:sz w:val="24"/>
        </w:rPr>
        <w:t>• a) georreferenciamento do perímetro da UC e da sua Zona de Amortecimento no Datum oficial SIRGAS 2000 (EPSG:4674);</w:t>
      </w:r>
    </w:p>
    <w:p>
      <w:pPr>
        <w:spacing w:line="360" w:lineRule="auto" w:before="0" w:after="40"/>
        <w:ind w:left="709" w:hanging="283"/>
        <w:jc w:val="both"/>
      </w:pPr>
      <w:r>
        <w:rPr>
          <w:rFonts w:ascii="Times New Roman" w:hAnsi="Times New Roman"/>
          <w:b w:val="0"/>
          <w:i w:val="0"/>
          <w:sz w:val="24"/>
        </w:rPr>
        <w:t>• b) vetores e mapeamento do zoneamento ambiental interno;</w:t>
      </w:r>
    </w:p>
    <w:p>
      <w:pPr>
        <w:spacing w:line="360" w:lineRule="auto" w:before="0" w:after="40"/>
        <w:ind w:left="709" w:hanging="283"/>
        <w:jc w:val="both"/>
      </w:pPr>
      <w:r>
        <w:rPr>
          <w:rFonts w:ascii="Times New Roman" w:hAnsi="Times New Roman"/>
          <w:b w:val="0"/>
          <w:i w:val="0"/>
          <w:sz w:val="24"/>
        </w:rPr>
        <w:t>• c) delimitação dos limites verticais (subsolo e espaço aéreo), nos casos em que couber conforme o ato de criação ou plano de gestão.</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III - Módulo III (Gestão, Governança, Aspectos Antropológicos e UCs Legadas):</w:t>
      </w:r>
    </w:p>
    <w:p>
      <w:pPr>
        <w:spacing w:line="360" w:lineRule="auto" w:before="0" w:after="40"/>
        <w:ind w:left="709" w:hanging="283"/>
        <w:jc w:val="both"/>
      </w:pPr>
      <w:r>
        <w:rPr>
          <w:rFonts w:ascii="Times New Roman" w:hAnsi="Times New Roman"/>
          <w:b w:val="0"/>
          <w:i w:val="0"/>
          <w:sz w:val="24"/>
        </w:rPr>
        <w:t>• a) cadastro dos Conselhos Gestores, atos de criação, paridade e atas de reuniões ordinárias e extraordinárias;</w:t>
      </w:r>
    </w:p>
    <w:p>
      <w:pPr>
        <w:spacing w:line="360" w:lineRule="auto" w:before="0" w:after="40"/>
        <w:ind w:left="709" w:hanging="283"/>
        <w:jc w:val="both"/>
      </w:pPr>
      <w:r>
        <w:rPr>
          <w:rFonts w:ascii="Times New Roman" w:hAnsi="Times New Roman"/>
          <w:b w:val="0"/>
          <w:i w:val="0"/>
          <w:sz w:val="24"/>
        </w:rPr>
        <w:t>• b) situação e vigência do Plano de Gestão (art. 2º, XXII, da Lei nº 10.306/2023);</w:t>
      </w:r>
    </w:p>
    <w:p>
      <w:pPr>
        <w:spacing w:line="360" w:lineRule="auto" w:before="0" w:after="40"/>
        <w:ind w:left="709" w:hanging="283"/>
        <w:jc w:val="both"/>
      </w:pPr>
      <w:r>
        <w:rPr>
          <w:rFonts w:ascii="Times New Roman" w:hAnsi="Times New Roman"/>
          <w:b w:val="0"/>
          <w:i w:val="0"/>
          <w:sz w:val="24"/>
        </w:rPr>
        <w:t>• c) caracterização socioeconômica, turística, arqueológica, antropológica e de comunidades tradicionais;</w:t>
      </w:r>
    </w:p>
    <w:p>
      <w:pPr>
        <w:spacing w:line="360" w:lineRule="auto" w:before="0" w:after="40"/>
        <w:ind w:left="709" w:hanging="283"/>
        <w:jc w:val="both"/>
      </w:pPr>
      <w:r>
        <w:rPr>
          <w:rFonts w:ascii="Times New Roman" w:hAnsi="Times New Roman"/>
          <w:b w:val="0"/>
          <w:i w:val="0"/>
          <w:sz w:val="24"/>
        </w:rPr>
        <w:t>• d) rastreamento do cumprimento dos prazos de readequação de Sítios Pesqueiros em Reserva Estadual de Pesca (Art. 112) e de UCs legadas criadas sob legislações anteriores (Art. 114 da Lei nº 10.306/2023).</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IV - Módulo IV (Caracterização Fundiária, Dominial e RPPNs):</w:t>
      </w:r>
    </w:p>
    <w:p>
      <w:pPr>
        <w:spacing w:line="360" w:lineRule="auto" w:before="0" w:after="40"/>
        <w:ind w:left="709" w:hanging="283"/>
        <w:jc w:val="both"/>
      </w:pPr>
      <w:r>
        <w:rPr>
          <w:rFonts w:ascii="Times New Roman" w:hAnsi="Times New Roman"/>
          <w:b w:val="0"/>
          <w:i w:val="0"/>
          <w:sz w:val="24"/>
        </w:rPr>
        <w:t>• a) situação jurídico-dominial e percentual acumulado de regularização fundiária;</w:t>
      </w:r>
    </w:p>
    <w:p>
      <w:pPr>
        <w:spacing w:line="360" w:lineRule="auto" w:before="0" w:after="40"/>
        <w:ind w:left="709" w:hanging="283"/>
        <w:jc w:val="both"/>
      </w:pPr>
      <w:r>
        <w:rPr>
          <w:rFonts w:ascii="Times New Roman" w:hAnsi="Times New Roman"/>
          <w:b w:val="0"/>
          <w:i w:val="0"/>
          <w:sz w:val="24"/>
        </w:rPr>
        <w:t>• b) cadastro das Reservas Particulares do Patrimônio Natural (RPPNs), contendo certidão da averbação da perpetuidade à margem da matrícula no Registro Geral de Imóveis (RGI).</w:t>
      </w:r>
    </w:p>
    <w:p>
      <w:pPr>
        <w:spacing w:line="360" w:lineRule="auto" w:before="240" w:after="120"/>
        <w:ind w:firstLine="0"/>
        <w:jc w:val="left"/>
      </w:pPr>
      <w:r>
        <w:rPr>
          <w:rFonts w:ascii="Times New Roman" w:hAnsi="Times New Roman"/>
          <w:b/>
          <w:i w:val="0"/>
          <w:sz w:val="24"/>
        </w:rPr>
        <w:t>CAPÍTULO III - DO CICLO ANUAL DE GESTÃO E SINCRONIZAÇÃO COM O ICMS VERDE</w:t>
      </w:r>
    </w:p>
    <w:p>
      <w:pPr>
        <w:spacing w:line="360" w:lineRule="auto" w:before="0" w:after="0"/>
        <w:ind w:firstLine="709"/>
        <w:jc w:val="both"/>
      </w:pPr>
      <w:r>
        <w:rPr>
          <w:rFonts w:ascii="Times New Roman" w:hAnsi="Times New Roman"/>
          <w:b/>
          <w:i w:val="0"/>
          <w:sz w:val="24"/>
        </w:rPr>
        <w:t>Art. 5º</w:t>
      </w:r>
      <w:r>
        <w:rPr>
          <w:rFonts w:ascii="Times New Roman" w:hAnsi="Times New Roman"/>
          <w:b w:val="0"/>
          <w:i w:val="0"/>
          <w:sz w:val="24"/>
        </w:rPr>
        <w:t xml:space="preserve"> A alimentação e atualização do SEINUC/PA obedecerão ao ciclo síncrono com o calendário do ICMS Verde (Decreto Estadual nº 1.064/2020):</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 - Ano-Base (N-1):</w:t>
      </w:r>
      <w:r>
        <w:rPr>
          <w:rFonts w:ascii="Times New Roman" w:hAnsi="Times New Roman"/>
          <w:b w:val="0"/>
          <w:i w:val="0"/>
          <w:sz w:val="24"/>
        </w:rPr>
        <w:t xml:space="preserve"> Período de 01 de janeiro a 31 de dezembro do ano civil anterior, dedicado à execução das ações de gestão, proteção e monitoramento da UC;</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 - Ano de Exercício (N):</w:t>
      </w:r>
      <w:r>
        <w:rPr>
          <w:rFonts w:ascii="Times New Roman" w:hAnsi="Times New Roman"/>
          <w:b w:val="0"/>
          <w:i w:val="0"/>
          <w:sz w:val="24"/>
        </w:rPr>
        <w:t xml:space="preserve"> Ano civil em curso, destinado à instrução, análise técnica, pontuação, fase recursal e envio do índice definitivo.</w:t>
      </w:r>
    </w:p>
    <w:p>
      <w:pPr>
        <w:spacing w:line="360" w:lineRule="auto" w:before="0" w:after="0"/>
        <w:ind w:firstLine="709"/>
        <w:jc w:val="both"/>
      </w:pPr>
      <w:r>
        <w:rPr>
          <w:rFonts w:ascii="Times New Roman" w:hAnsi="Times New Roman"/>
          <w:b/>
          <w:i w:val="0"/>
          <w:sz w:val="24"/>
        </w:rPr>
        <w:t>Art. 6º</w:t>
      </w:r>
      <w:r>
        <w:rPr>
          <w:rFonts w:ascii="Times New Roman" w:hAnsi="Times New Roman"/>
          <w:b w:val="0"/>
          <w:i w:val="0"/>
          <w:sz w:val="24"/>
        </w:rPr>
        <w:t xml:space="preserve"> Os municípios e órgãos gestores deverão transmitir o pacote de dados do Ano-Base até o dia </w:t>
      </w:r>
      <w:r>
        <w:rPr>
          <w:rFonts w:ascii="Times New Roman" w:hAnsi="Times New Roman"/>
          <w:b/>
          <w:i w:val="0"/>
          <w:sz w:val="24"/>
        </w:rPr>
        <w:t>31 de janeiro do Ano de Exercício</w:t>
      </w:r>
      <w:r>
        <w:rPr>
          <w:rFonts w:ascii="Times New Roman" w:hAnsi="Times New Roman"/>
          <w:b w:val="0"/>
          <w:i w:val="0"/>
          <w:sz w:val="24"/>
        </w:rPr>
        <w:t>, via portal eletrônico oficial.</w:t>
      </w:r>
    </w:p>
    <w:p>
      <w:pPr>
        <w:spacing w:line="360" w:lineRule="auto" w:before="0" w:after="0"/>
        <w:ind w:firstLine="709"/>
        <w:jc w:val="both"/>
      </w:pPr>
      <w:r>
        <w:rPr>
          <w:rFonts w:ascii="Times New Roman" w:hAnsi="Times New Roman"/>
          <w:b w:val="0"/>
          <w:i w:val="0"/>
          <w:sz w:val="24"/>
        </w:rPr>
        <w:t>§ 1º Em caso de indisponibilidade técnica comprovada do portal de transmissão nas últimas 24 horas do prazo, o termo final será automaticamente prorrogado para o primeiro dia útil subsequente.</w:t>
      </w:r>
    </w:p>
    <w:p>
      <w:pPr>
        <w:spacing w:line="360" w:lineRule="auto" w:before="0" w:after="0"/>
        <w:ind w:firstLine="709"/>
        <w:jc w:val="both"/>
      </w:pPr>
      <w:r>
        <w:rPr>
          <w:rFonts w:ascii="Times New Roman" w:hAnsi="Times New Roman"/>
          <w:b w:val="0"/>
          <w:i w:val="0"/>
          <w:sz w:val="24"/>
        </w:rPr>
        <w:t>§ 2º É facultado ao município apresentar justificativa formal de força maior ou falha comprovada na infraestrutura local em até 2 (dois) dias úteis após o termo final, cabendo à CT-SEINUC deliberar fundamentadamente sobre o acolhimento do protocolo.</w:t>
      </w:r>
    </w:p>
    <w:p>
      <w:pPr>
        <w:spacing w:line="360" w:lineRule="auto" w:before="0" w:after="0"/>
        <w:ind w:firstLine="709"/>
        <w:jc w:val="both"/>
      </w:pPr>
      <w:r>
        <w:rPr>
          <w:rFonts w:ascii="Times New Roman" w:hAnsi="Times New Roman"/>
          <w:b w:val="0"/>
          <w:i w:val="0"/>
          <w:sz w:val="24"/>
        </w:rPr>
        <w:t xml:space="preserve">§ 3º Todos os documentos textuais serão transmitidos em PDF pesquisável (OCR), acompanhados da </w:t>
      </w:r>
      <w:r>
        <w:rPr>
          <w:rFonts w:ascii="Times New Roman" w:hAnsi="Times New Roman"/>
          <w:b/>
          <w:i w:val="0"/>
          <w:sz w:val="24"/>
        </w:rPr>
        <w:t>Declaração de Veracidade e Responsabilidade Técnica</w:t>
      </w:r>
      <w:r>
        <w:rPr>
          <w:rFonts w:ascii="Times New Roman" w:hAnsi="Times New Roman"/>
          <w:b w:val="0"/>
          <w:i w:val="0"/>
          <w:sz w:val="24"/>
        </w:rPr>
        <w:t xml:space="preserve"> assinada pelo gestor competente.</w:t>
      </w:r>
    </w:p>
    <w:p>
      <w:pPr>
        <w:spacing w:line="360" w:lineRule="auto" w:before="240" w:after="120"/>
        <w:ind w:firstLine="0"/>
        <w:jc w:val="left"/>
      </w:pPr>
      <w:r>
        <w:rPr>
          <w:rFonts w:ascii="Times New Roman" w:hAnsi="Times New Roman"/>
          <w:b/>
          <w:i w:val="0"/>
          <w:sz w:val="24"/>
        </w:rPr>
        <w:t>CAPÍTULO IV - DA COMISSÃO TÉCNICA (CT-SEINUC), AVALIAÇÃO E FASE RECURSAL</w:t>
      </w:r>
    </w:p>
    <w:p>
      <w:pPr>
        <w:spacing w:line="360" w:lineRule="auto" w:before="0" w:after="0"/>
        <w:ind w:firstLine="709"/>
        <w:jc w:val="both"/>
      </w:pPr>
      <w:r>
        <w:rPr>
          <w:rFonts w:ascii="Times New Roman" w:hAnsi="Times New Roman"/>
          <w:b/>
          <w:i w:val="0"/>
          <w:sz w:val="24"/>
        </w:rPr>
        <w:t>Art. 7º</w:t>
      </w:r>
      <w:r>
        <w:rPr>
          <w:rFonts w:ascii="Times New Roman" w:hAnsi="Times New Roman"/>
          <w:b w:val="0"/>
          <w:i w:val="0"/>
          <w:sz w:val="24"/>
        </w:rPr>
        <w:t xml:space="preserve"> Fica criada a </w:t>
      </w:r>
      <w:r>
        <w:rPr>
          <w:rFonts w:ascii="Times New Roman" w:hAnsi="Times New Roman"/>
          <w:b/>
          <w:i w:val="0"/>
          <w:sz w:val="24"/>
        </w:rPr>
        <w:t>Comissão Técnica de Avaliação do SEINUC (CT-SEINUC)</w:t>
      </w:r>
      <w:r>
        <w:rPr>
          <w:rFonts w:ascii="Times New Roman" w:hAnsi="Times New Roman"/>
          <w:b w:val="0"/>
          <w:i w:val="0"/>
          <w:sz w:val="24"/>
        </w:rPr>
        <w:t>, órgão colegiado de caráter permanente, vinculada conjuntamente à SEMAS e ao IDEFLOR-Bio.</w:t>
      </w:r>
    </w:p>
    <w:p>
      <w:pPr>
        <w:spacing w:line="360" w:lineRule="auto" w:before="0" w:after="0"/>
        <w:ind w:firstLine="709"/>
        <w:jc w:val="both"/>
      </w:pPr>
      <w:r>
        <w:rPr>
          <w:rFonts w:ascii="Times New Roman" w:hAnsi="Times New Roman"/>
          <w:b w:val="0"/>
          <w:i w:val="0"/>
          <w:sz w:val="24"/>
        </w:rPr>
        <w:t>§ 1º A CT-SEINUC será coordenada pelo representante indicado pela SEMAS (órgão central) e composta por técnicos do IDEFLOR-Bio (órgão executor) e 1 (um) representante indicado pela Federação das Associações de Municípios do Estado do Pará (FAMEP), cujos membros e suplentes serão designados por Portaria Conjunta SEMAS/IDEFLOR-Bio.</w:t>
      </w:r>
    </w:p>
    <w:p>
      <w:pPr>
        <w:spacing w:line="360" w:lineRule="auto" w:before="0" w:after="0"/>
        <w:ind w:firstLine="709"/>
        <w:jc w:val="both"/>
      </w:pPr>
      <w:r>
        <w:rPr>
          <w:rFonts w:ascii="Times New Roman" w:hAnsi="Times New Roman"/>
          <w:b w:val="0"/>
          <w:i w:val="0"/>
          <w:sz w:val="24"/>
        </w:rPr>
        <w:t>§ 2º Compete à CT-SEINUC realizar a triagem formal, a análise de mérito dos processos, emitir pareceres e julgar os recursos administrativos interpostos pelos municípios.</w:t>
      </w:r>
    </w:p>
    <w:p>
      <w:pPr>
        <w:spacing w:line="360" w:lineRule="auto" w:before="0" w:after="0"/>
        <w:ind w:firstLine="709"/>
        <w:jc w:val="both"/>
      </w:pPr>
      <w:r>
        <w:rPr>
          <w:rFonts w:ascii="Times New Roman" w:hAnsi="Times New Roman"/>
          <w:b/>
          <w:i w:val="0"/>
          <w:sz w:val="24"/>
        </w:rPr>
        <w:t>Art. 8º</w:t>
      </w:r>
      <w:r>
        <w:rPr>
          <w:rFonts w:ascii="Times New Roman" w:hAnsi="Times New Roman"/>
          <w:b w:val="0"/>
          <w:i w:val="0"/>
          <w:sz w:val="24"/>
        </w:rPr>
        <w:t xml:space="preserve"> O rito de avaliação e publicação observará rigorosamente o calendário unificado do ICMS Verde:</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 - Triagem de Admissibilidade Formal:</w:t>
      </w:r>
      <w:r>
        <w:rPr>
          <w:rFonts w:ascii="Times New Roman" w:hAnsi="Times New Roman"/>
          <w:b w:val="0"/>
          <w:i w:val="0"/>
          <w:sz w:val="24"/>
        </w:rPr>
        <w:t xml:space="preserve"> Realizada até 28 de fevereiro. Inconformidades formais sanáveis (falhas de OCR, nomenclatura de arquivos, ajustes de topologia vetorial ou omissão de documento complementar) ensejarão notificação motivada para saneamento no prazo de 5 (cinco) dias úteis. A intempestividade não justificada, o Datum cartográfico incompatível (divergente do SIRGAS 2000) ou a ausência de ofício/declaração de veracidade ensejarão o indeferimento sumário;</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 - Análise de Mérito:</w:t>
      </w:r>
      <w:r>
        <w:rPr>
          <w:rFonts w:ascii="Times New Roman" w:hAnsi="Times New Roman"/>
          <w:b w:val="0"/>
          <w:i w:val="0"/>
          <w:sz w:val="24"/>
        </w:rPr>
        <w:t xml:space="preserve"> Realizada entre março e abril pelas equipes técnicas;</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III - Publicação dos Resultados Provisórios:</w:t>
      </w:r>
      <w:r>
        <w:rPr>
          <w:rFonts w:ascii="Times New Roman" w:hAnsi="Times New Roman"/>
          <w:b w:val="0"/>
          <w:i w:val="0"/>
          <w:sz w:val="24"/>
        </w:rPr>
        <w:t xml:space="preserve"> Divulgação no Diário Oficial do Estado (DOE) e Portal SEINUC até o dia </w:t>
      </w:r>
      <w:r>
        <w:rPr>
          <w:rFonts w:ascii="Times New Roman" w:hAnsi="Times New Roman"/>
          <w:b/>
          <w:i w:val="0"/>
          <w:sz w:val="24"/>
        </w:rPr>
        <w:t>31 de maio do Ano de Exercício</w:t>
      </w:r>
      <w:r>
        <w:rPr>
          <w:rFonts w:ascii="Times New Roman" w:hAnsi="Times New Roman"/>
          <w:b w:val="0"/>
          <w:i w:val="0"/>
          <w:sz w:val="24"/>
        </w:rPr>
        <w:t xml:space="preserve"> (sincronizado ao Decreto Estadual nº 1.064/2020), acompanhada da Ficha de Avaliação motivada por quesito.</w:t>
      </w:r>
    </w:p>
    <w:p>
      <w:pPr>
        <w:spacing w:line="360" w:lineRule="auto" w:before="0" w:after="0"/>
        <w:ind w:firstLine="709"/>
        <w:jc w:val="both"/>
      </w:pPr>
      <w:r>
        <w:rPr>
          <w:rFonts w:ascii="Times New Roman" w:hAnsi="Times New Roman"/>
          <w:b/>
          <w:i w:val="0"/>
          <w:sz w:val="24"/>
        </w:rPr>
        <w:t>Art. 9º</w:t>
      </w:r>
      <w:r>
        <w:rPr>
          <w:rFonts w:ascii="Times New Roman" w:hAnsi="Times New Roman"/>
          <w:b w:val="0"/>
          <w:i w:val="0"/>
          <w:sz w:val="24"/>
        </w:rPr>
        <w:t xml:space="preserve"> É assegurado ao município o direito de interpor </w:t>
      </w:r>
      <w:r>
        <w:rPr>
          <w:rFonts w:ascii="Times New Roman" w:hAnsi="Times New Roman"/>
          <w:b/>
          <w:i w:val="0"/>
          <w:sz w:val="24"/>
        </w:rPr>
        <w:t>Recurso Administrativo</w:t>
      </w:r>
      <w:r>
        <w:rPr>
          <w:rFonts w:ascii="Times New Roman" w:hAnsi="Times New Roman"/>
          <w:b w:val="0"/>
          <w:i w:val="0"/>
          <w:sz w:val="24"/>
        </w:rPr>
        <w:t xml:space="preserve"> contra o Resultado Provisório, no prazo de </w:t>
      </w:r>
      <w:r>
        <w:rPr>
          <w:rFonts w:ascii="Times New Roman" w:hAnsi="Times New Roman"/>
          <w:b/>
          <w:i w:val="0"/>
          <w:sz w:val="24"/>
        </w:rPr>
        <w:t>15 (quinze) dias úteis</w:t>
      </w:r>
      <w:r>
        <w:rPr>
          <w:rFonts w:ascii="Times New Roman" w:hAnsi="Times New Roman"/>
          <w:b w:val="0"/>
          <w:i w:val="0"/>
          <w:sz w:val="24"/>
        </w:rPr>
        <w:t>, contados a partir da publicação oficial, nos termos do art. 83 da Lei Estadual nº 8.972/2020 (LEPA).</w:t>
      </w:r>
    </w:p>
    <w:p>
      <w:pPr>
        <w:spacing w:line="360" w:lineRule="auto" w:before="0" w:after="0"/>
        <w:ind w:firstLine="709"/>
        <w:jc w:val="both"/>
      </w:pPr>
      <w:r>
        <w:rPr>
          <w:rFonts w:ascii="Times New Roman" w:hAnsi="Times New Roman"/>
          <w:b w:val="0"/>
          <w:i w:val="0"/>
          <w:sz w:val="24"/>
        </w:rPr>
        <w:t>§ 1º O recurso será instruído pela CT-SEINUC e julgado em instância final pelo titular da SEMAS (órgão central), garantido o efeito suspensivo quanto à parcela impugnada.</w:t>
      </w:r>
    </w:p>
    <w:p>
      <w:pPr>
        <w:spacing w:line="360" w:lineRule="auto" w:before="0" w:after="0"/>
        <w:ind w:firstLine="709"/>
        <w:jc w:val="both"/>
      </w:pPr>
      <w:r>
        <w:rPr>
          <w:rFonts w:ascii="Times New Roman" w:hAnsi="Times New Roman"/>
          <w:b w:val="0"/>
          <w:i w:val="0"/>
          <w:sz w:val="24"/>
        </w:rPr>
        <w:t>§ 2º Na fase recursal, é vedada a juntada de documentos novos extemporâneos que deveriam ter sido apresentados na fase regular de transmissão.</w:t>
      </w:r>
    </w:p>
    <w:p>
      <w:pPr>
        <w:spacing w:line="360" w:lineRule="auto" w:before="0" w:after="0"/>
        <w:ind w:firstLine="709"/>
        <w:jc w:val="both"/>
      </w:pPr>
      <w:r>
        <w:rPr>
          <w:rFonts w:ascii="Times New Roman" w:hAnsi="Times New Roman"/>
          <w:b w:val="0"/>
          <w:i w:val="0"/>
          <w:sz w:val="24"/>
        </w:rPr>
        <w:t>§ 3º A apreciação do Recurso Administrativo pela CT-SEINUC e a decisão final do titular da SEMAS exaurem a fase de impugnação relativa às Unidades de Conservação e RPPNs para os fins do ICMS Verde (Decreto Estadual nº 1.064, de 28 de setembro de 2020), unificando a via recursal perante o órgão central.</w:t>
      </w:r>
    </w:p>
    <w:p>
      <w:pPr>
        <w:spacing w:line="360" w:lineRule="auto" w:before="0" w:after="0"/>
        <w:ind w:firstLine="709"/>
        <w:jc w:val="both"/>
      </w:pPr>
      <w:r>
        <w:rPr>
          <w:rFonts w:ascii="Times New Roman" w:hAnsi="Times New Roman"/>
          <w:b/>
          <w:i w:val="0"/>
          <w:sz w:val="24"/>
        </w:rPr>
        <w:t>Art. 10.</w:t>
      </w:r>
      <w:r>
        <w:rPr>
          <w:rFonts w:ascii="Times New Roman" w:hAnsi="Times New Roman"/>
          <w:b w:val="0"/>
          <w:i w:val="0"/>
          <w:sz w:val="24"/>
        </w:rPr>
        <w:t xml:space="preserve"> O Resultado Definitivo do índice do SEINUC será homologado pelo Secretário de Estado de Meio Ambiente e Sustentabilidade e encaminhado à Secretaria de Estado de Fazenda (SEFA/PA) até o dia </w:t>
      </w:r>
      <w:r>
        <w:rPr>
          <w:rFonts w:ascii="Times New Roman" w:hAnsi="Times New Roman"/>
          <w:b/>
          <w:i w:val="0"/>
          <w:sz w:val="24"/>
        </w:rPr>
        <w:t>31 de julho do Ano de Exercício</w:t>
      </w:r>
      <w:r>
        <w:rPr>
          <w:rFonts w:ascii="Times New Roman" w:hAnsi="Times New Roman"/>
          <w:b w:val="0"/>
          <w:i w:val="0"/>
          <w:sz w:val="24"/>
        </w:rPr>
        <w:t xml:space="preserve"> (sincronizado ao Decreto Estadual nº 1.064/2020).</w:t>
      </w:r>
    </w:p>
    <w:p>
      <w:pPr>
        <w:spacing w:line="360" w:lineRule="auto" w:before="240" w:after="120"/>
        <w:ind w:firstLine="0"/>
        <w:jc w:val="left"/>
      </w:pPr>
      <w:r>
        <w:rPr>
          <w:rFonts w:ascii="Times New Roman" w:hAnsi="Times New Roman"/>
          <w:b/>
          <w:i w:val="0"/>
          <w:sz w:val="24"/>
        </w:rPr>
        <w:t>CAPÍTULO V - DA INTEROPERABILIDADE, REPASSE TRIENAL E CARTOGRAFIA OFICIAL</w:t>
      </w:r>
    </w:p>
    <w:p>
      <w:pPr>
        <w:spacing w:line="360" w:lineRule="auto" w:before="0" w:after="0"/>
        <w:ind w:firstLine="709"/>
        <w:jc w:val="both"/>
      </w:pPr>
      <w:r>
        <w:rPr>
          <w:rFonts w:ascii="Times New Roman" w:hAnsi="Times New Roman"/>
          <w:b/>
          <w:i w:val="0"/>
          <w:sz w:val="24"/>
        </w:rPr>
        <w:t>Art. 11.</w:t>
      </w:r>
      <w:r>
        <w:rPr>
          <w:rFonts w:ascii="Times New Roman" w:hAnsi="Times New Roman"/>
          <w:b w:val="0"/>
          <w:i w:val="0"/>
          <w:sz w:val="24"/>
        </w:rPr>
        <w:t xml:space="preserve"> O SEINUC/PA manterá integração automatizada contínua com o Cadastro Nacional de Unidades de Conservação (CNUC/MMA).</w:t>
      </w:r>
    </w:p>
    <w:p>
      <w:pPr>
        <w:spacing w:line="360" w:lineRule="auto" w:before="0" w:after="0"/>
        <w:ind w:firstLine="709"/>
        <w:jc w:val="both"/>
      </w:pPr>
      <w:r>
        <w:rPr>
          <w:rFonts w:ascii="Times New Roman" w:hAnsi="Times New Roman"/>
          <w:b/>
          <w:i w:val="0"/>
          <w:sz w:val="24"/>
        </w:rPr>
        <w:t>Art. 12.</w:t>
      </w:r>
      <w:r>
        <w:rPr>
          <w:rFonts w:ascii="Times New Roman" w:hAnsi="Times New Roman"/>
          <w:b w:val="0"/>
          <w:i w:val="0"/>
          <w:sz w:val="24"/>
        </w:rPr>
        <w:t xml:space="preserve"> Em cumprimento ao art. 68, § 4º, da Lei Estadual nº 10.306/2023, a SEMAS e o IDEFLOR-Bio realizarão, a cada </w:t>
      </w:r>
      <w:r>
        <w:rPr>
          <w:rFonts w:ascii="Times New Roman" w:hAnsi="Times New Roman"/>
          <w:b/>
          <w:i w:val="0"/>
          <w:sz w:val="24"/>
        </w:rPr>
        <w:t>3 (três) anos</w:t>
      </w:r>
      <w:r>
        <w:rPr>
          <w:rFonts w:ascii="Times New Roman" w:hAnsi="Times New Roman"/>
          <w:b w:val="0"/>
          <w:i w:val="0"/>
          <w:sz w:val="24"/>
        </w:rPr>
        <w:t>, a consolidação e a transmissão obrigatória dos dados cadastrais e vetoriais do SEINUC/PA ao:</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 - Instituto de Terras do Pará (ITERPA):</w:t>
      </w:r>
      <w:r>
        <w:rPr>
          <w:rFonts w:ascii="Times New Roman" w:hAnsi="Times New Roman"/>
          <w:b w:val="0"/>
          <w:i w:val="0"/>
          <w:sz w:val="24"/>
        </w:rPr>
        <w:t xml:space="preserve"> Para instruir o levantamento de terras devolutas (art. 110) e a regularização fundiária;</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 - Diretoria de Licenciamento Ambiental da SEMAS:</w:t>
      </w:r>
      <w:r>
        <w:rPr>
          <w:rFonts w:ascii="Times New Roman" w:hAnsi="Times New Roman"/>
          <w:b w:val="0"/>
          <w:i w:val="0"/>
          <w:sz w:val="24"/>
        </w:rPr>
        <w:t xml:space="preserve"> Para subsidiar a análise de impactos e restrições socioambientais no licenciamento do Estado.</w:t>
      </w:r>
    </w:p>
    <w:p>
      <w:pPr>
        <w:spacing w:line="360" w:lineRule="auto" w:before="0" w:after="0"/>
        <w:ind w:firstLine="709"/>
        <w:jc w:val="both"/>
      </w:pPr>
      <w:r>
        <w:rPr>
          <w:rFonts w:ascii="Times New Roman" w:hAnsi="Times New Roman"/>
          <w:b/>
          <w:i w:val="0"/>
          <w:sz w:val="24"/>
        </w:rPr>
        <w:t>Art. 13.</w:t>
      </w:r>
      <w:r>
        <w:rPr>
          <w:rFonts w:ascii="Times New Roman" w:hAnsi="Times New Roman"/>
          <w:b w:val="0"/>
          <w:i w:val="0"/>
          <w:sz w:val="24"/>
        </w:rPr>
        <w:t xml:space="preserve"> As informações geográficas do SEINUC/PA serão disponibilizadas por geoserviços OGC (WMS e WFS), constituindo camada de uso obrigatório na confecção dos mapas e cartas oficiais do Estado do Pará, nos termos do art. 111 da Lei Estadual nº 10.306/2023.</w:t>
      </w:r>
    </w:p>
    <w:p>
      <w:pPr>
        <w:spacing w:line="360" w:lineRule="auto" w:before="240" w:after="120"/>
        <w:ind w:firstLine="0"/>
        <w:jc w:val="left"/>
      </w:pPr>
      <w:r>
        <w:rPr>
          <w:rFonts w:ascii="Times New Roman" w:hAnsi="Times New Roman"/>
          <w:b/>
          <w:i w:val="0"/>
          <w:sz w:val="24"/>
        </w:rPr>
        <w:t>CAPÍTULO VI - DA TRANSPARÊNCIA, SIGILO DA BIODIVERSIDADE, LGPD E SISGEN</w:t>
      </w:r>
    </w:p>
    <w:p>
      <w:pPr>
        <w:spacing w:line="360" w:lineRule="auto" w:before="0" w:after="0"/>
        <w:ind w:firstLine="709"/>
        <w:jc w:val="both"/>
      </w:pPr>
      <w:r>
        <w:rPr>
          <w:rFonts w:ascii="Times New Roman" w:hAnsi="Times New Roman"/>
          <w:b/>
          <w:i w:val="0"/>
          <w:sz w:val="24"/>
        </w:rPr>
        <w:t>Art. 14.</w:t>
      </w:r>
      <w:r>
        <w:rPr>
          <w:rFonts w:ascii="Times New Roman" w:hAnsi="Times New Roman"/>
          <w:b w:val="0"/>
          <w:i w:val="0"/>
          <w:sz w:val="24"/>
        </w:rPr>
        <w:t xml:space="preserve"> Os dados constantes do SEINUC/PA são públicos, ressalvadas as hipóteses de sigilo imprescindíveis à proteção do patrimônio biológico e à segurança da biodiversidade, nos termos do art. 67, § 6º, da Lei Estadual nº 10.306/2023.</w:t>
      </w:r>
    </w:p>
    <w:p>
      <w:pPr>
        <w:spacing w:line="360" w:lineRule="auto" w:before="0" w:after="0"/>
        <w:ind w:firstLine="709"/>
        <w:jc w:val="both"/>
      </w:pPr>
      <w:r>
        <w:rPr>
          <w:rFonts w:ascii="Times New Roman" w:hAnsi="Times New Roman"/>
          <w:b w:val="0"/>
          <w:i w:val="0"/>
          <w:sz w:val="24"/>
        </w:rPr>
        <w:t>§ 1º As coordenadas geográficas exatas de ocorrência ou nidificação de espécies da fauna e flora criticamente ameaçadas de extinção (CR) serão de acesso restrito ao corpo técnico autorizado, sendo exibidas nos canais públicos de transparência ativa (WebGIS, WMS, WFS e WCS) por polígonos de quadrícula regional generalizada (10 x 10 km), aplicando-se idêntica restrição às requisições de consulta puntiforme (</w:t>
      </w:r>
      <w:r>
        <w:rPr>
          <w:rFonts w:ascii="Times New Roman" w:hAnsi="Times New Roman"/>
          <w:b w:val="0"/>
          <w:i/>
          <w:sz w:val="24"/>
        </w:rPr>
        <w:t>GetFeatureInfo</w:t>
      </w:r>
      <w:r>
        <w:rPr>
          <w:rFonts w:ascii="Times New Roman" w:hAnsi="Times New Roman"/>
          <w:b w:val="0"/>
          <w:i w:val="0"/>
          <w:sz w:val="24"/>
        </w:rPr>
        <w:t xml:space="preserve"> e </w:t>
      </w:r>
      <w:r>
        <w:rPr>
          <w:rFonts w:ascii="Times New Roman" w:hAnsi="Times New Roman"/>
          <w:b w:val="0"/>
          <w:i/>
          <w:sz w:val="24"/>
        </w:rPr>
        <w:t>GetFeature</w:t>
      </w:r>
      <w:r>
        <w:rPr>
          <w:rFonts w:ascii="Times New Roman" w:hAnsi="Times New Roman"/>
          <w:b w:val="0"/>
          <w:i w:val="0"/>
          <w:sz w:val="24"/>
        </w:rPr>
        <w:t>).</w:t>
      </w:r>
    </w:p>
    <w:p>
      <w:pPr>
        <w:spacing w:line="360" w:lineRule="auto" w:before="0" w:after="0"/>
        <w:ind w:firstLine="709"/>
        <w:jc w:val="both"/>
      </w:pPr>
      <w:r>
        <w:rPr>
          <w:rFonts w:ascii="Times New Roman" w:hAnsi="Times New Roman"/>
          <w:b w:val="0"/>
          <w:i w:val="0"/>
          <w:sz w:val="24"/>
        </w:rPr>
        <w:t>§ 2º A SEMAS atuará como Controladora de dados pessoais e o IDEFLOR-Bio como Operador, devendo a gestão de dados pessoais no SEINUC/PA observar estritamente as diretrizes da Lei Geral de Proteção de Dados Pessoais (Lei Federal nº 13.709/2018 - LGPD).</w:t>
      </w:r>
    </w:p>
    <w:p>
      <w:pPr>
        <w:spacing w:line="360" w:lineRule="auto" w:before="0" w:after="0"/>
        <w:ind w:firstLine="709"/>
        <w:jc w:val="both"/>
      </w:pPr>
      <w:r>
        <w:rPr>
          <w:rFonts w:ascii="Times New Roman" w:hAnsi="Times New Roman"/>
          <w:b w:val="0"/>
          <w:i w:val="0"/>
          <w:sz w:val="24"/>
        </w:rPr>
        <w:t>§ 3º O tratamento e a publicidade de informações sobre patrimônio genético e conhecimento tradicional associado a comunidades locais observarão a Lei Federal nº 13.123, de 20 de maio de 2015, e os registros no Sistema Nacional de Gestão do Patrimônio Genético e do Conhecimento Tradicional Associado (SisGen).</w:t>
      </w:r>
    </w:p>
    <w:p>
      <w:pPr>
        <w:spacing w:line="360" w:lineRule="auto" w:before="240" w:after="120"/>
        <w:ind w:firstLine="0"/>
        <w:jc w:val="left"/>
      </w:pPr>
      <w:r>
        <w:rPr>
          <w:rFonts w:ascii="Times New Roman" w:hAnsi="Times New Roman"/>
          <w:b/>
          <w:i w:val="0"/>
          <w:sz w:val="24"/>
        </w:rPr>
        <w:t>CAPÍTULO VII - DAS SANÇÕES E RESPONSABILIZAÇÃO</w:t>
      </w:r>
    </w:p>
    <w:p>
      <w:pPr>
        <w:spacing w:line="360" w:lineRule="auto" w:before="0" w:after="0"/>
        <w:ind w:firstLine="709"/>
        <w:jc w:val="both"/>
      </w:pPr>
      <w:r>
        <w:rPr>
          <w:rFonts w:ascii="Times New Roman" w:hAnsi="Times New Roman"/>
          <w:b/>
          <w:i w:val="0"/>
          <w:sz w:val="24"/>
        </w:rPr>
        <w:t>Art. 15.</w:t>
      </w:r>
      <w:r>
        <w:rPr>
          <w:rFonts w:ascii="Times New Roman" w:hAnsi="Times New Roman"/>
          <w:b w:val="0"/>
          <w:i w:val="0"/>
          <w:sz w:val="24"/>
        </w:rPr>
        <w:t xml:space="preserve"> A inserção de informações falsas, a adulteração de vetores ou a fraude documental no SEINUC/PA implicará:</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 -</w:t>
      </w:r>
      <w:r>
        <w:rPr>
          <w:rFonts w:ascii="Times New Roman" w:hAnsi="Times New Roman"/>
          <w:b w:val="0"/>
          <w:i w:val="0"/>
          <w:sz w:val="24"/>
        </w:rPr>
        <w:t xml:space="preserve"> A glosa cautelar da pontuação da Unidade de Conservação no exercício correspondente, assegurado o contraditório e a ampla defesa no processo administrativo sancionatório sob o rito da Lei Estadual nº 8.972/2020 (LEPA);</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 -</w:t>
      </w:r>
      <w:r>
        <w:rPr>
          <w:rFonts w:ascii="Times New Roman" w:hAnsi="Times New Roman"/>
          <w:b w:val="0"/>
          <w:i w:val="0"/>
          <w:sz w:val="24"/>
        </w:rPr>
        <w:t xml:space="preserve"> A instauração de processo administrativo sancionatório sob o rito da Lei Estadual nº 8.972/2020 (LEPA);</w:t>
      </w:r>
    </w:p>
    <w:p>
      <w:pPr>
        <w:spacing w:line="360" w:lineRule="auto" w:before="0" w:after="40"/>
        <w:ind w:left="709" w:hanging="283"/>
        <w:jc w:val="both"/>
      </w:pPr>
      <w:r>
        <w:rPr>
          <w:rFonts w:ascii="Times New Roman" w:hAnsi="Times New Roman"/>
          <w:b w:val="0"/>
          <w:i w:val="0"/>
          <w:sz w:val="24"/>
        </w:rPr>
        <w:t xml:space="preserve">• </w:t>
      </w:r>
      <w:r>
        <w:rPr>
          <w:rFonts w:ascii="Times New Roman" w:hAnsi="Times New Roman"/>
          <w:b/>
          <w:i w:val="0"/>
          <w:sz w:val="24"/>
        </w:rPr>
        <w:t>III -</w:t>
      </w:r>
      <w:r>
        <w:rPr>
          <w:rFonts w:ascii="Times New Roman" w:hAnsi="Times New Roman"/>
          <w:b w:val="0"/>
          <w:i w:val="0"/>
          <w:sz w:val="24"/>
        </w:rPr>
        <w:t xml:space="preserve"> A comunicação imediata ao Ministério Público do Estado do Pará para apuração das sanções penais previstas no art. 299 do Código Penal e na Lei Federal nº 9.605/1998.</w:t>
      </w:r>
    </w:p>
    <w:p>
      <w:pPr>
        <w:spacing w:line="360" w:lineRule="auto" w:before="240" w:after="120"/>
        <w:ind w:firstLine="0"/>
        <w:jc w:val="left"/>
      </w:pPr>
      <w:r>
        <w:rPr>
          <w:rFonts w:ascii="Times New Roman" w:hAnsi="Times New Roman"/>
          <w:b/>
          <w:i w:val="0"/>
          <w:sz w:val="24"/>
        </w:rPr>
        <w:t>CAPÍTULO VIII - DISPOSIÇÕES FINAIS E TRANSITÓRIAS</w:t>
      </w:r>
    </w:p>
    <w:p>
      <w:pPr>
        <w:spacing w:line="360" w:lineRule="auto" w:before="0" w:after="0"/>
        <w:ind w:firstLine="709"/>
        <w:jc w:val="both"/>
      </w:pPr>
      <w:r>
        <w:rPr>
          <w:rFonts w:ascii="Times New Roman" w:hAnsi="Times New Roman"/>
          <w:b/>
          <w:i w:val="0"/>
          <w:sz w:val="24"/>
        </w:rPr>
        <w:t>Art. 16.</w:t>
      </w:r>
      <w:r>
        <w:rPr>
          <w:rFonts w:ascii="Times New Roman" w:hAnsi="Times New Roman"/>
          <w:b w:val="0"/>
          <w:i w:val="0"/>
          <w:sz w:val="24"/>
        </w:rPr>
        <w:t xml:space="preserve"> O Secretário de Meio Ambiente e Sustentabilidade e o Presidente do IDEFLOR-Bio expedirão Portarias Conjuntas para regulamentar o manual de valoração de pesos, a Portaria Técnica e as diretrizes de triagem.</w:t>
      </w:r>
    </w:p>
    <w:p>
      <w:pPr>
        <w:spacing w:line="360" w:lineRule="auto" w:before="0" w:after="0"/>
        <w:ind w:firstLine="709"/>
        <w:jc w:val="both"/>
      </w:pPr>
      <w:r>
        <w:rPr>
          <w:rFonts w:ascii="Times New Roman" w:hAnsi="Times New Roman"/>
          <w:b/>
          <w:i w:val="0"/>
          <w:sz w:val="24"/>
        </w:rPr>
        <w:t>Art. 17.</w:t>
      </w:r>
      <w:r>
        <w:rPr>
          <w:rFonts w:ascii="Times New Roman" w:hAnsi="Times New Roman"/>
          <w:b w:val="0"/>
          <w:i w:val="0"/>
          <w:sz w:val="24"/>
        </w:rPr>
        <w:t xml:space="preserve"> A SEMAS, por intermédio do IDEFLOR-Bio, fará publicar a cada </w:t>
      </w:r>
      <w:r>
        <w:rPr>
          <w:rFonts w:ascii="Times New Roman" w:hAnsi="Times New Roman"/>
          <w:b/>
          <w:i w:val="0"/>
          <w:sz w:val="24"/>
        </w:rPr>
        <w:t>4 (quatro) anos</w:t>
      </w:r>
      <w:r>
        <w:rPr>
          <w:rFonts w:ascii="Times New Roman" w:hAnsi="Times New Roman"/>
          <w:b w:val="0"/>
          <w:i w:val="0"/>
          <w:sz w:val="24"/>
        </w:rPr>
        <w:t xml:space="preserve"> o Relatório de Avaliação Global da Efetividade da Gestão das UCs (art. 113 da Lei 10.306/2023) e encaminhará anualmente o relatório de gestão (§ 1º do art. 113).</w:t>
      </w:r>
    </w:p>
    <w:p>
      <w:pPr>
        <w:spacing w:line="360" w:lineRule="auto" w:before="0" w:after="0"/>
        <w:ind w:firstLine="709"/>
        <w:jc w:val="both"/>
      </w:pPr>
      <w:r>
        <w:rPr>
          <w:rFonts w:ascii="Times New Roman" w:hAnsi="Times New Roman"/>
          <w:b/>
          <w:i w:val="0"/>
          <w:sz w:val="24"/>
        </w:rPr>
        <w:t>Art. 18.</w:t>
      </w:r>
      <w:r>
        <w:rPr>
          <w:rFonts w:ascii="Times New Roman" w:hAnsi="Times New Roman"/>
          <w:b w:val="0"/>
          <w:i w:val="0"/>
          <w:sz w:val="24"/>
        </w:rPr>
        <w:t xml:space="preserve"> Para os Sítios Pesqueiros criados antes da edição da Lei nº 10.306/2023 cujo prazo de readequação (art. 112) tenha expirado, o SEINUC/PA manterá o cadastramento transitório exclusivamente para fins de monitoramento e instrução prioritária do processo de transição para Reserva Estadual de Pesca, sem prejuízo das providências administrativas e legislativas cabíveis.</w:t>
      </w:r>
    </w:p>
    <w:p>
      <w:pPr>
        <w:spacing w:line="360" w:lineRule="auto" w:before="0" w:after="0"/>
        <w:ind w:firstLine="709"/>
        <w:jc w:val="both"/>
      </w:pPr>
      <w:r>
        <w:rPr>
          <w:rFonts w:ascii="Times New Roman" w:hAnsi="Times New Roman"/>
          <w:b/>
          <w:i w:val="0"/>
          <w:sz w:val="24"/>
        </w:rPr>
        <w:t>Art. 19.</w:t>
      </w:r>
      <w:r>
        <w:rPr>
          <w:rFonts w:ascii="Times New Roman" w:hAnsi="Times New Roman"/>
          <w:b w:val="0"/>
          <w:i w:val="0"/>
          <w:sz w:val="24"/>
        </w:rPr>
        <w:t xml:space="preserve"> Este Decreto entra em vigor na data de sua publicação.</w:t>
      </w:r>
    </w:p>
    <w:p>
      <w:pPr>
        <w:spacing w:line="360" w:lineRule="auto" w:before="240" w:after="240"/>
        <w:ind w:firstLine="709"/>
        <w:jc w:val="both"/>
      </w:pPr>
      <w:r>
        <w:rPr>
          <w:rFonts w:ascii="Times New Roman" w:hAnsi="Times New Roman"/>
          <w:b w:val="0"/>
          <w:i w:val="0"/>
          <w:sz w:val="24"/>
        </w:rPr>
        <w:t>PALÁCIO DO GOVERNO, __ de __________ de 202X.</w:t>
      </w:r>
    </w:p>
    <w:p>
      <w:pPr>
        <w:spacing w:line="360" w:lineRule="auto" w:before="0" w:after="0"/>
        <w:ind w:firstLine="709"/>
        <w:jc w:val="both"/>
      </w:pPr>
      <w:r>
        <w:rPr>
          <w:rFonts w:ascii="Times New Roman" w:hAnsi="Times New Roman"/>
          <w:b/>
          <w:i w:val="0"/>
          <w:sz w:val="24"/>
        </w:rPr>
        <w:t>[NOME DO(A) GOVERNADOR(A)]</w:t>
      </w:r>
    </w:p>
    <w:p>
      <w:pPr>
        <w:spacing w:line="360" w:lineRule="auto" w:before="240" w:after="0"/>
        <w:ind w:firstLine="0"/>
        <w:jc w:val="center"/>
      </w:pPr>
      <w:r>
        <w:rPr>
          <w:rFonts w:ascii="Times New Roman" w:hAnsi="Times New Roman"/>
          <w:b w:val="0"/>
          <w:i/>
          <w:sz w:val="24"/>
        </w:rPr>
        <w:t>Governador(a) do Estado do Pará</w:t>
      </w:r>
    </w:p>
    <w:sectPr w:rsidR="00FC693F" w:rsidRPr="0006063C" w:rsidSect="00034616">
      <w:headerReference w:type="default" r:id="rId9"/>
      <w:footerReference w:type="default" r:id="rId10"/>
      <w:pgSz w:w="12240" w:h="15840"/>
      <w:pgMar w:top="1701"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i/>
        <w:color w:val="787878"/>
        <w:sz w:val="17"/>
      </w:rPr>
      <w:t>Documento Oficial de Regulamentação e Especificação Técnica • Minuta Decreto Seinuc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i/>
        <w:color w:val="787878"/>
        <w:sz w:val="17"/>
      </w:rPr>
      <w:t>SEINUC/PA — GOVERNO DO ESTADO DO PARÁ / IDEFLOR-Bio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