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60" w:lineRule="auto" w:before="240" w:after="120"/>
        <w:ind w:firstLine="0"/>
        <w:jc w:val="left"/>
      </w:pPr>
      <w:r>
        <w:rPr>
          <w:rFonts w:ascii="Times New Roman" w:hAnsi="Times New Roman"/>
          <w:b/>
          <w:i w:val="0"/>
          <w:sz w:val="24"/>
        </w:rPr>
        <w:t>MANUAL DE PROTOCOLO DIGITAL, FLUXO DE ENVIO E CHECKLIST DE TRIAGEM (SEINUC/PA)</w:t>
      </w:r>
    </w:p>
    <w:p>
      <w:pPr>
        <w:spacing w:line="240" w:lineRule="auto" w:before="120" w:after="120"/>
        <w:ind w:left="4252" w:firstLine="0"/>
        <w:jc w:val="both"/>
      </w:pPr>
      <w:r>
        <w:rPr>
          <w:rFonts w:ascii="Times New Roman" w:hAnsi="Times New Roman"/>
          <w:b/>
          <w:i/>
          <w:sz w:val="20"/>
        </w:rPr>
        <w:t>Documento Oficial de Instrução Operacional do Sistema Estadual de Informações sobre Unidades de Conservação do Estado do Pará (SEINUC/PA)</w:t>
      </w:r>
    </w:p>
    <w:p>
      <w:pPr>
        <w:spacing w:line="240" w:lineRule="auto" w:before="120" w:after="120"/>
        <w:ind w:left="4252" w:firstLine="0"/>
        <w:jc w:val="both"/>
      </w:pPr>
      <w:r>
        <w:rPr>
          <w:rFonts w:ascii="Times New Roman" w:hAnsi="Times New Roman"/>
          <w:b/>
          <w:i/>
          <w:sz w:val="20"/>
        </w:rPr>
        <w:t>Base Legal:</w:t>
      </w:r>
      <w:r>
        <w:rPr>
          <w:rFonts w:ascii="Times New Roman" w:hAnsi="Times New Roman"/>
          <w:b w:val="0"/>
          <w:i/>
          <w:sz w:val="20"/>
        </w:rPr>
        <w:t xml:space="preserve"> Arts. 5º, 6º, 7º, 8º e 9º do Decreto Regulamentador do SEINUC/PA | Portaria Conjunta SEMAS/IDEFLOR-Bio nº ____/202X</w:t>
      </w:r>
    </w:p>
    <w:p>
      <w:pPr>
        <w:spacing w:line="360" w:lineRule="auto" w:before="240" w:after="120"/>
        <w:ind w:firstLine="0"/>
        <w:jc w:val="left"/>
      </w:pPr>
      <w:r>
        <w:rPr>
          <w:rFonts w:ascii="Times New Roman" w:hAnsi="Times New Roman"/>
          <w:b/>
          <w:i w:val="0"/>
          <w:sz w:val="24"/>
        </w:rPr>
        <w:t>1. Apresentação e Objetivos</w:t>
      </w:r>
    </w:p>
    <w:p>
      <w:pPr>
        <w:spacing w:line="360" w:lineRule="auto" w:before="0" w:after="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 xml:space="preserve">Este manual estabelece os procedimentos operacionais para a transmissão digital de arquivos, a infraestrutura de recepção, a emissão do recibo de protocolo com autenticação de integridade e o </w:t>
      </w:r>
      <w:r>
        <w:rPr>
          <w:rFonts w:ascii="Times New Roman" w:hAnsi="Times New Roman"/>
          <w:b/>
          <w:i w:val="0"/>
          <w:sz w:val="24"/>
        </w:rPr>
        <w:t>Checklist de Triagem (Admissibilidade Formal)</w:t>
      </w:r>
      <w:r>
        <w:rPr>
          <w:rFonts w:ascii="Times New Roman" w:hAnsi="Times New Roman"/>
          <w:b w:val="0"/>
          <w:i w:val="0"/>
          <w:sz w:val="24"/>
        </w:rPr>
        <w:t xml:space="preserve"> aplicado pela Comissão Técnica de Avaliação do SEINUC (CT-SEINUC).</w:t>
      </w:r>
    </w:p>
    <w:p>
      <w:pPr>
        <w:spacing w:line="360" w:lineRule="auto" w:before="240" w:after="120"/>
        <w:ind w:firstLine="0"/>
        <w:jc w:val="left"/>
      </w:pPr>
      <w:r>
        <w:rPr>
          <w:rFonts w:ascii="Times New Roman" w:hAnsi="Times New Roman"/>
          <w:b/>
          <w:i w:val="0"/>
          <w:sz w:val="24"/>
        </w:rPr>
        <w:t>2. Estrutura de Diretórios do Pacote de Envio Digital</w:t>
      </w:r>
    </w:p>
    <w:p>
      <w:pPr>
        <w:spacing w:line="360" w:lineRule="auto" w:before="0" w:after="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Os gestores deverão organizar o pacote digital de transmissão obedecendo à seguinte estrutura padronizada de diretórios:</w:t>
      </w:r>
    </w:p>
    <w:p>
      <w:pPr>
        <w:spacing w:before="240" w:after="80"/>
        <w:ind w:firstLine="0"/>
        <w:jc w:val="center"/>
      </w:pPr>
      <w:r>
        <w:rPr>
          <w:rFonts w:ascii="Times New Roman" w:hAnsi="Times New Roman"/>
          <w:b/>
          <w:sz w:val="20"/>
        </w:rPr>
        <w:t>Figura 1: Estrutura de Diretórios do Pacote Digital de Envio no SEINUC/PA</w:t>
      </w:r>
    </w:p>
    <w:p>
      <w:pPr>
        <w:spacing w:before="4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669280" cy="214172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iagrama_estrutura_pacot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1417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240"/>
        <w:ind w:firstLine="0"/>
        <w:jc w:val="center"/>
      </w:pPr>
      <w:r>
        <w:rPr>
          <w:rFonts w:ascii="Times New Roman" w:hAnsi="Times New Roman"/>
          <w:i/>
          <w:color w:val="646464"/>
          <w:sz w:val="19"/>
        </w:rPr>
        <w:t>Fonte: Elaboração própria / SEINUC/PA (2026).</w:t>
      </w:r>
    </w:p>
    <w:p>
      <w:pPr>
        <w:spacing w:line="360" w:lineRule="auto" w:before="240" w:after="120"/>
        <w:ind w:firstLine="0"/>
        <w:jc w:val="left"/>
      </w:pPr>
      <w:r>
        <w:rPr>
          <w:rFonts w:ascii="Times New Roman" w:hAnsi="Times New Roman"/>
          <w:b/>
          <w:i w:val="0"/>
          <w:sz w:val="24"/>
        </w:rPr>
        <w:t>3. Canais de Transmissão e Recibo com Hash SHA-256 e Selo de Tempo</w:t>
      </w:r>
    </w:p>
    <w:p>
      <w:pPr>
        <w:spacing w:line="360" w:lineRule="auto" w:before="120" w:after="120"/>
        <w:ind w:firstLine="0"/>
        <w:jc w:val="left"/>
      </w:pPr>
      <w:r>
        <w:rPr>
          <w:rFonts w:ascii="Times New Roman" w:hAnsi="Times New Roman"/>
          <w:b/>
          <w:i/>
          <w:sz w:val="24"/>
        </w:rPr>
        <w:t>3.1. Canais de Transmissão</w:t>
      </w:r>
    </w:p>
    <w:p>
      <w:pPr>
        <w:spacing w:line="360" w:lineRule="auto" w:before="0" w:after="40"/>
        <w:ind w:left="709" w:hanging="283"/>
        <w:jc w:val="both"/>
      </w:pPr>
      <w:r>
        <w:rPr>
          <w:rFonts w:ascii="Times New Roman" w:hAnsi="Times New Roman"/>
          <w:b w:val="0"/>
          <w:i w:val="0"/>
          <w:sz w:val="24"/>
        </w:rPr>
        <w:t xml:space="preserve">• </w:t>
      </w:r>
      <w:r>
        <w:rPr>
          <w:rFonts w:ascii="Times New Roman" w:hAnsi="Times New Roman"/>
          <w:b/>
          <w:i w:val="0"/>
          <w:sz w:val="24"/>
        </w:rPr>
        <w:t>Portal Web do SEINUC/PA:</w:t>
      </w:r>
      <w:r>
        <w:rPr>
          <w:rFonts w:ascii="Times New Roman" w:hAnsi="Times New Roman"/>
          <w:b w:val="0"/>
          <w:i w:val="0"/>
          <w:sz w:val="24"/>
        </w:rPr>
        <w:t xml:space="preserve"> Envio direto via formulário eletrônico autenticado para pacotes de até 200 MB por Unidade de Conservação.</w:t>
      </w:r>
    </w:p>
    <w:p>
      <w:pPr>
        <w:spacing w:line="360" w:lineRule="auto" w:before="0" w:after="40"/>
        <w:ind w:left="709" w:hanging="283"/>
        <w:jc w:val="both"/>
      </w:pPr>
      <w:r>
        <w:rPr>
          <w:rFonts w:ascii="Times New Roman" w:hAnsi="Times New Roman"/>
          <w:b w:val="0"/>
          <w:i w:val="0"/>
          <w:sz w:val="24"/>
        </w:rPr>
        <w:t xml:space="preserve">• </w:t>
      </w:r>
      <w:r>
        <w:rPr>
          <w:rFonts w:ascii="Times New Roman" w:hAnsi="Times New Roman"/>
          <w:b/>
          <w:i w:val="0"/>
          <w:sz w:val="24"/>
        </w:rPr>
        <w:t>Servidor SFTP Institucional:</w:t>
      </w:r>
      <w:r>
        <w:rPr>
          <w:rFonts w:ascii="Times New Roman" w:hAnsi="Times New Roman"/>
          <w:b w:val="0"/>
          <w:i w:val="0"/>
          <w:sz w:val="24"/>
        </w:rPr>
        <w:t xml:space="preserve"> Servidor seguro para recepção de acervos pesados e arquivos vetoriais.</w:t>
      </w:r>
    </w:p>
    <w:p>
      <w:pPr>
        <w:spacing w:line="360" w:lineRule="auto" w:before="120" w:after="120"/>
        <w:ind w:firstLine="0"/>
        <w:jc w:val="left"/>
      </w:pPr>
      <w:r>
        <w:rPr>
          <w:rFonts w:ascii="Times New Roman" w:hAnsi="Times New Roman"/>
          <w:b/>
          <w:i/>
          <w:sz w:val="24"/>
        </w:rPr>
        <w:t>3.2. Recibo Eletrônico de Protocolo</w:t>
      </w:r>
    </w:p>
    <w:p>
      <w:pPr>
        <w:spacing w:line="360" w:lineRule="auto" w:before="0" w:after="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 xml:space="preserve">Ao finalizar a transmissão, o sistema emitirá automaticamente o </w:t>
      </w:r>
      <w:r>
        <w:rPr>
          <w:rFonts w:ascii="Times New Roman" w:hAnsi="Times New Roman"/>
          <w:b/>
          <w:i w:val="0"/>
          <w:sz w:val="24"/>
        </w:rPr>
        <w:t>Comprovante de Protocolo Digital</w:t>
      </w:r>
      <w:r>
        <w:rPr>
          <w:rFonts w:ascii="Times New Roman" w:hAnsi="Times New Roman"/>
          <w:b w:val="0"/>
          <w:i w:val="0"/>
          <w:sz w:val="24"/>
        </w:rPr>
        <w:t>, contendo:</w:t>
      </w:r>
    </w:p>
    <w:p>
      <w:pPr>
        <w:spacing w:line="360" w:lineRule="auto" w:before="0" w:after="40"/>
        <w:ind w:left="709" w:hanging="283"/>
        <w:jc w:val="both"/>
      </w:pPr>
      <w:r>
        <w:rPr>
          <w:rFonts w:ascii="Times New Roman" w:hAnsi="Times New Roman"/>
          <w:b w:val="0"/>
          <w:i w:val="0"/>
          <w:sz w:val="24"/>
        </w:rPr>
        <w:t>• Número do Protocolo Único de Entrada (</w:t>
      </w:r>
      <w:r>
        <w:rPr>
          <w:rFonts w:ascii="Consolas" w:hAnsi="Consolas"/>
          <w:color w:val="003366"/>
          <w:sz w:val="20"/>
        </w:rPr>
        <w:t>ANO-MUNICIPIO-SEINUC-Nº</w:t>
      </w:r>
      <w:r>
        <w:rPr>
          <w:rFonts w:ascii="Times New Roman" w:hAnsi="Times New Roman"/>
          <w:b w:val="0"/>
          <w:i w:val="0"/>
          <w:sz w:val="24"/>
        </w:rPr>
        <w:t>).</w:t>
      </w:r>
    </w:p>
    <w:p>
      <w:pPr>
        <w:spacing w:line="360" w:lineRule="auto" w:before="0" w:after="40"/>
        <w:ind w:left="709" w:hanging="283"/>
        <w:jc w:val="both"/>
      </w:pPr>
      <w:r>
        <w:rPr>
          <w:rFonts w:ascii="Times New Roman" w:hAnsi="Times New Roman"/>
          <w:b w:val="0"/>
          <w:i w:val="0"/>
          <w:sz w:val="24"/>
        </w:rPr>
        <w:t>• Data e Hora exatas do servidor oficial (Horário de Brasília) com carimbo de tempo.</w:t>
      </w:r>
    </w:p>
    <w:p>
      <w:pPr>
        <w:spacing w:line="360" w:lineRule="auto" w:before="0" w:after="40"/>
        <w:ind w:left="709" w:hanging="283"/>
        <w:jc w:val="both"/>
      </w:pPr>
      <w:r>
        <w:rPr>
          <w:rFonts w:ascii="Times New Roman" w:hAnsi="Times New Roman"/>
          <w:b w:val="0"/>
          <w:i w:val="0"/>
          <w:sz w:val="24"/>
        </w:rPr>
        <w:t>• Relação nominal de arquivos transmitidos.</w:t>
      </w:r>
    </w:p>
    <w:p>
      <w:pPr>
        <w:spacing w:line="360" w:lineRule="auto" w:before="0" w:after="40"/>
        <w:ind w:left="709" w:hanging="283"/>
        <w:jc w:val="both"/>
      </w:pPr>
      <w:r>
        <w:rPr>
          <w:rFonts w:ascii="Times New Roman" w:hAnsi="Times New Roman"/>
          <w:b w:val="0"/>
          <w:i w:val="0"/>
          <w:sz w:val="24"/>
        </w:rPr>
        <w:t xml:space="preserve">• </w:t>
      </w:r>
      <w:r>
        <w:rPr>
          <w:rFonts w:ascii="Times New Roman" w:hAnsi="Times New Roman"/>
          <w:b/>
          <w:i w:val="0"/>
          <w:sz w:val="24"/>
        </w:rPr>
        <w:t>Código Hash SHA-256 e Selo de Tempo ICP-Brasil</w:t>
      </w:r>
      <w:r>
        <w:rPr>
          <w:rFonts w:ascii="Times New Roman" w:hAnsi="Times New Roman"/>
          <w:b w:val="0"/>
          <w:i w:val="0"/>
          <w:sz w:val="24"/>
        </w:rPr>
        <w:t>, garantindo a integridade e a rastreabilidade do pacote transmitido.</w:t>
      </w:r>
    </w:p>
    <w:p>
      <w:pPr>
        <w:spacing w:line="360" w:lineRule="auto" w:before="240" w:after="120"/>
        <w:ind w:firstLine="0"/>
        <w:jc w:val="left"/>
      </w:pPr>
      <w:r>
        <w:rPr>
          <w:rFonts w:ascii="Times New Roman" w:hAnsi="Times New Roman"/>
          <w:b/>
          <w:i w:val="0"/>
          <w:sz w:val="24"/>
        </w:rPr>
        <w:t>4. Checklist de Triagem e Admissibilidade Formal</w:t>
      </w:r>
    </w:p>
    <w:p>
      <w:pPr>
        <w:spacing w:line="360" w:lineRule="auto" w:before="0" w:after="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 xml:space="preserve">Antes da análise de mérito da documentação pela equipe técnica, o processo será submetido à </w:t>
      </w:r>
      <w:r>
        <w:rPr>
          <w:rFonts w:ascii="Times New Roman" w:hAnsi="Times New Roman"/>
          <w:b/>
          <w:i w:val="0"/>
          <w:sz w:val="24"/>
        </w:rPr>
        <w:t>Triagem de Admissibilidade Formal</w:t>
      </w:r>
      <w:r>
        <w:rPr>
          <w:rFonts w:ascii="Times New Roman" w:hAnsi="Times New Roman"/>
          <w:b w:val="0"/>
          <w:i w:val="0"/>
          <w:sz w:val="24"/>
        </w:rPr>
        <w:t>. O descumprimento de qualquer item eliminatório sem a devida justificativa formal enseja a rejeição sumária do protocolo.</w:t>
      </w:r>
    </w:p>
    <w:p>
      <w:pPr>
        <w:spacing w:line="360" w:lineRule="auto" w:before="120" w:after="120"/>
        <w:ind w:firstLine="0"/>
        <w:jc w:val="left"/>
      </w:pPr>
      <w:r>
        <w:rPr>
          <w:rFonts w:ascii="Times New Roman" w:hAnsi="Times New Roman"/>
          <w:b/>
          <w:i/>
          <w:sz w:val="24"/>
        </w:rPr>
        <w:t>Tabela de Verificação (Checklist de Triagem)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000000"/>
          <w:bottom w:val="single" w:sz="6" w:space="0" w:color="000000"/>
          <w:insideH w:val="single" w:sz="4" w:space="0" w:color="E0E0E0"/>
          <w:left w:val="none"/>
          <w:right w:val="none"/>
          <w:insideV w:val="none"/>
        </w:tblBorders>
      </w:tblPr>
      <w:tblGrid>
        <w:gridCol w:w="1881"/>
        <w:gridCol w:w="1881"/>
        <w:gridCol w:w="1881"/>
        <w:gridCol w:w="1881"/>
        <w:gridCol w:w="1881"/>
      </w:tblGrid>
      <w:tr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  <w:shd w:fill="F2F2F2"/>
          </w:tcPr>
          <w:p>
            <w:pPr>
              <w:spacing w:line="240" w:lineRule="auto" w:before="40" w:after="40"/>
              <w:ind w:firstLine="0"/>
              <w:jc w:val="center"/>
            </w:pPr>
            <w:r>
              <w:rPr>
                <w:rFonts w:ascii="Times New Roman" w:hAnsi="Times New Roman"/>
                <w:b/>
                <w:i w:val="0"/>
                <w:sz w:val="20"/>
              </w:rPr>
              <w:t>Item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  <w:shd w:fill="F2F2F2"/>
          </w:tcPr>
          <w:p>
            <w:pPr>
              <w:spacing w:line="240" w:lineRule="auto" w:before="40" w:after="40"/>
              <w:ind w:firstLine="0"/>
              <w:jc w:val="center"/>
            </w:pPr>
            <w:r>
              <w:rPr>
                <w:rFonts w:ascii="Times New Roman" w:hAnsi="Times New Roman"/>
                <w:b/>
                <w:i w:val="0"/>
                <w:sz w:val="20"/>
              </w:rPr>
              <w:t>Critério de Admissibilidade Formal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  <w:shd w:fill="F2F2F2"/>
          </w:tcPr>
          <w:p>
            <w:pPr>
              <w:spacing w:line="240" w:lineRule="auto" w:before="40" w:after="40"/>
              <w:ind w:firstLine="0"/>
              <w:jc w:val="center"/>
            </w:pPr>
            <w:r>
              <w:rPr>
                <w:rFonts w:ascii="Times New Roman" w:hAnsi="Times New Roman"/>
                <w:b/>
                <w:i w:val="0"/>
                <w:sz w:val="20"/>
              </w:rPr>
              <w:t>Caráter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  <w:shd w:fill="F2F2F2"/>
          </w:tcPr>
          <w:p>
            <w:pPr>
              <w:spacing w:line="240" w:lineRule="auto" w:before="40" w:after="40"/>
              <w:ind w:firstLine="0"/>
              <w:jc w:val="center"/>
            </w:pPr>
            <w:r>
              <w:rPr>
                <w:rFonts w:ascii="Times New Roman" w:hAnsi="Times New Roman"/>
                <w:b/>
                <w:i w:val="0"/>
                <w:sz w:val="20"/>
              </w:rPr>
              <w:t>Condição de Aceite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  <w:shd w:fill="F2F2F2"/>
          </w:tcPr>
          <w:p>
            <w:pPr>
              <w:spacing w:line="240" w:lineRule="auto" w:before="40" w:after="40"/>
              <w:ind w:firstLine="0"/>
              <w:jc w:val="center"/>
            </w:pPr>
            <w:r>
              <w:rPr>
                <w:rFonts w:ascii="Times New Roman" w:hAnsi="Times New Roman"/>
                <w:b/>
                <w:i w:val="0"/>
                <w:sz w:val="20"/>
              </w:rPr>
              <w:t>Ação em Caso de Descumprimento</w:t>
            </w:r>
          </w:p>
        </w:tc>
      </w:tr>
      <w:tr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/>
                <w:i w:val="0"/>
                <w:sz w:val="20"/>
              </w:rPr>
              <w:t>01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/>
                <w:i w:val="0"/>
                <w:sz w:val="20"/>
              </w:rPr>
              <w:t>Prazo Regulamentar:</w:t>
            </w:r>
            <w:r>
              <w:rPr>
                <w:rFonts w:ascii="Times New Roman" w:hAnsi="Times New Roman"/>
                <w:b w:val="0"/>
                <w:i w:val="0"/>
                <w:sz w:val="20"/>
              </w:rPr>
              <w:t xml:space="preserve"> Transmissão realizada até 31/Jan do Ano de Exercício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Eliminatório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Data &lt;= 31/Jan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Rejeição Sumária por Intempestividade (salvo prorrogação automática ou justificativa de força maior apresentada em até 2 dias úteis).</w:t>
            </w:r>
          </w:p>
        </w:tc>
      </w:tr>
      <w:tr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/>
                <w:i w:val="0"/>
                <w:sz w:val="20"/>
              </w:rPr>
              <w:t>02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/>
                <w:i w:val="0"/>
                <w:sz w:val="20"/>
              </w:rPr>
              <w:t>Ofício de Encaminhamento:</w:t>
            </w:r>
            <w:r>
              <w:rPr>
                <w:rFonts w:ascii="Times New Roman" w:hAnsi="Times New Roman"/>
                <w:b w:val="0"/>
                <w:i w:val="0"/>
                <w:sz w:val="20"/>
              </w:rPr>
              <w:t xml:space="preserve"> Anexado e assinado por autoridade competente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Eliminatório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Presente e Assinado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Rejeição Sumária do Protocolo.</w:t>
            </w:r>
          </w:p>
        </w:tc>
      </w:tr>
      <w:tr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/>
                <w:i w:val="0"/>
                <w:sz w:val="20"/>
              </w:rPr>
              <w:t>03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/>
                <w:i w:val="0"/>
                <w:sz w:val="20"/>
              </w:rPr>
              <w:t>Declaração de Veracidade:</w:t>
            </w:r>
            <w:r>
              <w:rPr>
                <w:rFonts w:ascii="Times New Roman" w:hAnsi="Times New Roman"/>
                <w:b w:val="0"/>
                <w:i w:val="0"/>
                <w:sz w:val="20"/>
              </w:rPr>
              <w:t xml:space="preserve"> Modelo Anexo I assinado digitalmente (Gov.br/ICP)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Eliminatório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Presente e Válida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Rejeição Sumária do Protocolo.</w:t>
            </w:r>
          </w:p>
        </w:tc>
      </w:tr>
      <w:tr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/>
                <w:i w:val="0"/>
                <w:sz w:val="20"/>
              </w:rPr>
              <w:t>04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/>
                <w:i w:val="0"/>
                <w:sz w:val="20"/>
              </w:rPr>
              <w:t>Padrão PDF/OCR e Nomenclatura:</w:t>
            </w:r>
            <w:r>
              <w:rPr>
                <w:rFonts w:ascii="Times New Roman" w:hAnsi="Times New Roman"/>
                <w:b w:val="0"/>
                <w:i w:val="0"/>
                <w:sz w:val="20"/>
              </w:rPr>
              <w:t xml:space="preserve"> Arquivos textuais pesquisáveis e nomeação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Sanável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OCR e Sintaxe Válidos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Notificação para Diligência em 5 (cinco) dias úteis.</w:t>
            </w:r>
          </w:p>
        </w:tc>
      </w:tr>
      <w:tr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/>
                <w:i w:val="0"/>
                <w:sz w:val="20"/>
              </w:rPr>
              <w:t>05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/>
                <w:i w:val="0"/>
                <w:sz w:val="20"/>
              </w:rPr>
              <w:t>Padrão Vetorial (Datum e Topologia):</w:t>
            </w:r>
            <w:r>
              <w:rPr>
                <w:rFonts w:ascii="Times New Roman" w:hAnsi="Times New Roman"/>
                <w:b w:val="0"/>
                <w:i w:val="0"/>
                <w:sz w:val="20"/>
              </w:rPr>
              <w:t xml:space="preserve"> Geometrias em SIRGAS 2000 (EPSG:4674)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Eliminatório (Datum) / Sanável (Topologia)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Datum SIRGAS 2000 e fecho topológico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Rejeição Sumária por Datum incompatível. Notificação para Diligência em 5 (cinco) dias úteis se houver apenas inconformidades topológicas sanáveis.</w:t>
            </w:r>
          </w:p>
        </w:tc>
      </w:tr>
      <w:tr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/>
                <w:i w:val="0"/>
                <w:sz w:val="20"/>
              </w:rPr>
              <w:t>06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/>
                <w:i w:val="0"/>
                <w:sz w:val="20"/>
              </w:rPr>
              <w:t>Nomenclatura Oficial:</w:t>
            </w:r>
            <w:r>
              <w:rPr>
                <w:rFonts w:ascii="Times New Roman" w:hAnsi="Times New Roman"/>
                <w:b w:val="0"/>
                <w:i w:val="0"/>
                <w:sz w:val="20"/>
              </w:rPr>
              <w:t xml:space="preserve"> Arquivos nomeados segundo o padrão oficial da Portaria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Sanável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Sintaxe Correta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Notificação para Diligência em 5 (cinco) dias úteis.</w:t>
            </w:r>
          </w:p>
        </w:tc>
      </w:tr>
      <w:tr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/>
                <w:i w:val="0"/>
                <w:sz w:val="20"/>
              </w:rPr>
              <w:t>07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/>
                <w:i w:val="0"/>
                <w:sz w:val="20"/>
              </w:rPr>
              <w:t>Averbação de RPPN:</w:t>
            </w:r>
            <w:r>
              <w:rPr>
                <w:rFonts w:ascii="Times New Roman" w:hAnsi="Times New Roman"/>
                <w:b w:val="0"/>
                <w:i w:val="0"/>
                <w:sz w:val="20"/>
              </w:rPr>
              <w:t xml:space="preserve"> Certidão de RGI anexada (quando aplicável)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Eliminatório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Matrícula Válida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Glosa da Pontuação de RPPN.</w:t>
            </w:r>
          </w:p>
        </w:tc>
      </w:tr>
    </w:tbl>
    <w:p>
      <w:pPr>
        <w:spacing w:after="120" w:line="240" w:lineRule="auto"/>
      </w:pPr>
    </w:p>
    <w:p>
      <w:pPr>
        <w:spacing w:line="360" w:lineRule="auto" w:before="240" w:after="120"/>
        <w:ind w:firstLine="0"/>
        <w:jc w:val="left"/>
      </w:pPr>
      <w:r>
        <w:rPr>
          <w:rFonts w:ascii="Times New Roman" w:hAnsi="Times New Roman"/>
          <w:b/>
          <w:i w:val="0"/>
          <w:sz w:val="24"/>
        </w:rPr>
        <w:t>5. Ficha Eletrônica de Aceite Preliminar</w:t>
      </w:r>
    </w:p>
    <w:p>
      <w:pPr>
        <w:spacing w:line="360" w:lineRule="auto" w:before="0" w:after="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O parecerista técnico registrará no SEINUC/PA a deliberação da triagem:</w:t>
      </w:r>
    </w:p>
    <w:p>
      <w:pPr>
        <w:spacing w:line="360" w:lineRule="auto" w:before="0" w:after="40"/>
        <w:ind w:left="709" w:hanging="283"/>
        <w:jc w:val="both"/>
      </w:pPr>
      <w:r>
        <w:rPr>
          <w:rFonts w:ascii="Times New Roman" w:hAnsi="Times New Roman"/>
          <w:b w:val="0"/>
          <w:i w:val="0"/>
          <w:sz w:val="24"/>
        </w:rPr>
        <w:t xml:space="preserve">• </w:t>
      </w:r>
      <w:r>
        <w:rPr>
          <w:rFonts w:ascii="Consolas" w:hAnsi="Consolas"/>
          <w:color w:val="003366"/>
          <w:sz w:val="20"/>
        </w:rPr>
        <w:t>HABILITADO PARA ANÁLISE DE MÉRITO</w:t>
      </w:r>
      <w:r>
        <w:rPr>
          <w:rFonts w:ascii="Times New Roman" w:hAnsi="Times New Roman"/>
          <w:b w:val="0"/>
          <w:i w:val="0"/>
          <w:sz w:val="24"/>
        </w:rPr>
        <w:t xml:space="preserve"> — Todos os itens 01 a 07 em conformidade.</w:t>
      </w:r>
    </w:p>
    <w:p>
      <w:pPr>
        <w:spacing w:line="360" w:lineRule="auto" w:before="0" w:after="40"/>
        <w:ind w:left="709" w:hanging="283"/>
        <w:jc w:val="both"/>
      </w:pPr>
      <w:r>
        <w:rPr>
          <w:rFonts w:ascii="Times New Roman" w:hAnsi="Times New Roman"/>
          <w:b w:val="0"/>
          <w:i w:val="0"/>
          <w:sz w:val="24"/>
        </w:rPr>
        <w:t xml:space="preserve">• </w:t>
      </w:r>
      <w:r>
        <w:rPr>
          <w:rFonts w:ascii="Consolas" w:hAnsi="Consolas"/>
          <w:color w:val="003366"/>
          <w:sz w:val="20"/>
        </w:rPr>
        <w:t>NOTIFICADO PARA DILIGÊNCIA (5 DIAS ÚTEIS)</w:t>
      </w:r>
      <w:r>
        <w:rPr>
          <w:rFonts w:ascii="Times New Roman" w:hAnsi="Times New Roman"/>
          <w:b w:val="0"/>
          <w:i w:val="0"/>
          <w:sz w:val="24"/>
        </w:rPr>
        <w:t xml:space="preserve"> — Vícios formais sanáveis (ex: erro de OCR, nomenclatura de arquivos ou documentos complementares secundários), nos termos do Art. 8º, I do Decreto Regulamentador.</w:t>
      </w:r>
    </w:p>
    <w:p>
      <w:pPr>
        <w:spacing w:line="360" w:lineRule="auto" w:before="0" w:after="40"/>
        <w:ind w:left="709" w:hanging="283"/>
        <w:jc w:val="both"/>
      </w:pPr>
      <w:r>
        <w:rPr>
          <w:rFonts w:ascii="Times New Roman" w:hAnsi="Times New Roman"/>
          <w:b w:val="0"/>
          <w:i w:val="0"/>
          <w:sz w:val="24"/>
        </w:rPr>
        <w:t xml:space="preserve">• </w:t>
      </w:r>
      <w:r>
        <w:rPr>
          <w:rFonts w:ascii="Consolas" w:hAnsi="Consolas"/>
          <w:color w:val="003366"/>
          <w:sz w:val="20"/>
        </w:rPr>
        <w:t>INDEFERIDO SUMARIAMENTE</w:t>
      </w:r>
      <w:r>
        <w:rPr>
          <w:rFonts w:ascii="Times New Roman" w:hAnsi="Times New Roman"/>
          <w:b w:val="0"/>
          <w:i w:val="0"/>
          <w:sz w:val="24"/>
        </w:rPr>
        <w:t xml:space="preserve"> — Intempestividade não justificada ou ausência de Ofício ou Declaração de Veracidade.</w:t>
      </w:r>
    </w:p>
    <w:p>
      <w:pPr>
        <w:spacing w:line="360" w:lineRule="auto" w:before="240" w:after="120"/>
        <w:ind w:firstLine="0"/>
        <w:jc w:val="left"/>
      </w:pPr>
      <w:r>
        <w:rPr>
          <w:rFonts w:ascii="Times New Roman" w:hAnsi="Times New Roman"/>
          <w:b/>
          <w:i w:val="0"/>
          <w:sz w:val="24"/>
        </w:rPr>
        <w:t>6. Fluxo Operacional Anual de Envio, Avaliação e Homologação</w:t>
      </w:r>
    </w:p>
    <w:p>
      <w:pPr>
        <w:spacing w:before="240" w:after="80"/>
        <w:ind w:firstLine="0"/>
        <w:jc w:val="center"/>
      </w:pPr>
      <w:r>
        <w:rPr>
          <w:rFonts w:ascii="Times New Roman" w:hAnsi="Times New Roman"/>
          <w:b/>
          <w:sz w:val="20"/>
        </w:rPr>
        <w:t>Figura 2: Fluxo Operacional do Ciclo Anual de Envio, Avaliação e Homologação do ICMS Ecológico</w:t>
      </w:r>
    </w:p>
    <w:p>
      <w:pPr>
        <w:spacing w:before="4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669280" cy="124724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iagrama_fluxo_operacional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12472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240"/>
        <w:ind w:firstLine="0"/>
        <w:jc w:val="center"/>
      </w:pPr>
      <w:r>
        <w:rPr>
          <w:rFonts w:ascii="Times New Roman" w:hAnsi="Times New Roman"/>
          <w:i/>
          <w:color w:val="646464"/>
          <w:sz w:val="19"/>
        </w:rPr>
        <w:t>Fonte: Elaboração própria / SEINUC/PA (2026).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701" w:right="1134" w:bottom="1134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i/>
        <w:color w:val="787878"/>
        <w:sz w:val="17"/>
      </w:rPr>
      <w:t>Documento Oficial de Regulamentação e Especificação Técnica • Manual Fluxo Envio E Triagem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Times New Roman" w:hAnsi="Times New Roman"/>
        <w:i/>
        <w:color w:val="787878"/>
        <w:sz w:val="17"/>
      </w:rPr>
      <w:t>SEINUC/PA — GOVERNO DO ESTADO DO PARÁ / IDEFLOR-Bio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before="0" w:after="0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