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ESPECIFICAÇÃO DO PORTAL DE TRANSPARÊNCIA E SERVIÇOS DE MAPAS OGC (SEINUC/PA)</w:t>
      </w:r>
    </w:p>
    <w:p>
      <w:pPr>
        <w:spacing w:line="240" w:lineRule="auto" w:before="120" w:after="120"/>
        <w:ind w:left="4252" w:firstLine="0"/>
        <w:jc w:val="both"/>
      </w:pPr>
      <w:r>
        <w:rPr>
          <w:rFonts w:ascii="Times New Roman" w:hAnsi="Times New Roman"/>
          <w:b/>
          <w:i/>
          <w:sz w:val="20"/>
        </w:rPr>
        <w:t>Documento Oficial de Especificação Técnica e Regulamentação da Transparência Ativa e Geoserviços</w:t>
      </w:r>
    </w:p>
    <w:p>
      <w:pPr>
        <w:spacing w:line="240" w:lineRule="auto" w:before="120" w:after="120"/>
        <w:ind w:left="4252" w:firstLine="0"/>
        <w:jc w:val="both"/>
      </w:pPr>
      <w:r>
        <w:rPr>
          <w:rFonts w:ascii="Times New Roman" w:hAnsi="Times New Roman"/>
          <w:b/>
          <w:i/>
          <w:sz w:val="20"/>
        </w:rPr>
        <w:t>Base Legal:</w:t>
      </w:r>
      <w:r>
        <w:rPr>
          <w:rFonts w:ascii="Times New Roman" w:hAnsi="Times New Roman"/>
          <w:b w:val="0"/>
          <w:i/>
          <w:sz w:val="20"/>
        </w:rPr>
        <w:t xml:space="preserve"> Art. 67, § 6º e Art. 111 da Lei Estadual nº 10.306/2023 | Arts. 13 e 14 do Decreto Regulamentador do SEINUC/PA | Lei Federal nº 12.527/2011 (LAI) | Padrões OGC (Open Geospatial Consortium)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1. Apresentação e Objetivos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Este documento especifica os requisitos funcionais, a arquitetura de transparência ativa, as diretrizes de dados abertos e a infraestrutura de geoserviços nos padrões da </w:t>
      </w:r>
      <w:r>
        <w:rPr>
          <w:rFonts w:ascii="Times New Roman" w:hAnsi="Times New Roman"/>
          <w:b w:val="0"/>
          <w:i/>
          <w:sz w:val="24"/>
        </w:rPr>
        <w:t>Open Geospatial Consortium (OGC)</w:t>
      </w:r>
      <w:r>
        <w:rPr>
          <w:rFonts w:ascii="Times New Roman" w:hAnsi="Times New Roman"/>
          <w:b w:val="0"/>
          <w:i w:val="0"/>
          <w:sz w:val="24"/>
        </w:rPr>
        <w:t xml:space="preserve"> do </w:t>
      </w:r>
      <w:r>
        <w:rPr>
          <w:rFonts w:ascii="Times New Roman" w:hAnsi="Times New Roman"/>
          <w:b/>
          <w:i w:val="0"/>
          <w:sz w:val="24"/>
        </w:rPr>
        <w:t>Sistema Estadual de Informações sobre Unidades de Conservação do Estado do Pará (SEINUC/PA)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O objetivo precípuo consiste em garantir o controle social, a publicidade irrestrita das ações de conservação do patrimônio natural paraense e a obrigatoriedade de alimentação da </w:t>
      </w:r>
      <w:r>
        <w:rPr>
          <w:rFonts w:ascii="Times New Roman" w:hAnsi="Times New Roman"/>
          <w:b/>
          <w:i w:val="0"/>
          <w:sz w:val="24"/>
        </w:rPr>
        <w:t>Cartografia Oficial do Estado do Pará</w:t>
      </w:r>
      <w:r>
        <w:rPr>
          <w:rFonts w:ascii="Times New Roman" w:hAnsi="Times New Roman"/>
          <w:b w:val="0"/>
          <w:i w:val="0"/>
          <w:sz w:val="24"/>
        </w:rPr>
        <w:t xml:space="preserve"> (Art. 111 da Lei nº 10.306/2023).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2. Arquitetura do Portal Público de Transparência Ativa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O Portal Público do SEINUC/PA será estruturado em quatro módulos integrados de livre acesso ao cidadão, pesquisadores e órgãos de controle, isentos de necessidade de cadastro prévio:</w:t>
      </w:r>
    </w:p>
    <w:p>
      <w:pPr>
        <w:spacing w:before="240" w:after="80"/>
        <w:ind w:firstLine="0"/>
        <w:jc w:val="center"/>
      </w:pPr>
      <w:r>
        <w:rPr>
          <w:rFonts w:ascii="Times New Roman" w:hAnsi="Times New Roman"/>
          <w:b/>
          <w:sz w:val="20"/>
        </w:rPr>
        <w:t>Figura 1: Arquitetura do Portal Público de Transparência Ativa do SEINUC/PA</w:t>
      </w:r>
    </w:p>
    <w:p>
      <w:pPr>
        <w:spacing w:before="4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69280" cy="20409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a_portal_transparenci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409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240"/>
        <w:ind w:firstLine="0"/>
        <w:jc w:val="center"/>
      </w:pPr>
      <w:r>
        <w:rPr>
          <w:rFonts w:ascii="Times New Roman" w:hAnsi="Times New Roman"/>
          <w:i/>
          <w:color w:val="646464"/>
          <w:sz w:val="19"/>
        </w:rPr>
        <w:t>Fonte: Elaboração própria / SEINUC/PA (2026).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2.1. Módulo A - Visualizador WebGIS Interativo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Funcionalidade:</w:t>
      </w:r>
      <w:r>
        <w:rPr>
          <w:rFonts w:ascii="Times New Roman" w:hAnsi="Times New Roman"/>
          <w:b w:val="0"/>
          <w:i w:val="0"/>
          <w:sz w:val="24"/>
        </w:rPr>
        <w:t xml:space="preserve"> Interface cartográfica de alto desempenho para navegação espacial sobre as Unidades de Conservação estaduais, municipais e RPPNs.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Camadas de Informação Disponíveis: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Polígonos de Perímetros Oficiais de UCs (Proteção Integral e Uso Sustentável).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Zonas de Amortecimento.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Zoneamento Ambiental Interno — </w:t>
      </w:r>
      <w:r>
        <w:rPr>
          <w:rFonts w:ascii="Times New Roman" w:hAnsi="Times New Roman"/>
          <w:b/>
          <w:i w:val="0"/>
          <w:sz w:val="24"/>
        </w:rPr>
        <w:t>exibido apenas quando a UC possui Plano de Gestão aprovado</w:t>
      </w:r>
      <w:r>
        <w:rPr>
          <w:rFonts w:ascii="Times New Roman" w:hAnsi="Times New Roman"/>
          <w:b w:val="0"/>
          <w:i w:val="0"/>
          <w:sz w:val="24"/>
        </w:rPr>
        <w:t xml:space="preserve"> (</w:t>
      </w:r>
      <w:r>
        <w:rPr>
          <w:rFonts w:ascii="Consolas" w:hAnsi="Consolas"/>
          <w:color w:val="003366"/>
          <w:sz w:val="20"/>
        </w:rPr>
        <w:t>zoneamento_disponivel = SIM</w:t>
      </w:r>
      <w:r>
        <w:rPr>
          <w:rFonts w:ascii="Times New Roman" w:hAnsi="Times New Roman"/>
          <w:b w:val="0"/>
          <w:i w:val="0"/>
          <w:sz w:val="24"/>
        </w:rPr>
        <w:t>, ver Módulo II); UCs sem plano de gestão exibem somente perímetro e Zona de Amortecimento.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Mosaicos de Áreas Protegidas e terras comunitárias limítrofes.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Camada de Hidrografia e Bacias Hidrográficas.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Camadas de Referência Federais (ICMBio/INDE):</w:t>
      </w:r>
      <w:r>
        <w:rPr>
          <w:rFonts w:ascii="Times New Roman" w:hAnsi="Times New Roman"/>
          <w:b w:val="0"/>
          <w:i w:val="0"/>
          <w:sz w:val="24"/>
        </w:rPr>
        <w:t xml:space="preserve"> limites de Unidades de Conservação </w:t>
      </w:r>
      <w:r>
        <w:rPr>
          <w:rFonts w:ascii="Times New Roman" w:hAnsi="Times New Roman"/>
          <w:b/>
          <w:i w:val="0"/>
          <w:sz w:val="24"/>
        </w:rPr>
        <w:t>federais</w:t>
      </w:r>
      <w:r>
        <w:rPr>
          <w:rFonts w:ascii="Times New Roman" w:hAnsi="Times New Roman"/>
          <w:b w:val="0"/>
          <w:i w:val="0"/>
          <w:sz w:val="24"/>
        </w:rPr>
        <w:t xml:space="preserve"> localizadas no Pará, consumidos por geoserviços de referência do órgão gestor federal (ver Anexo Técnico), sem duplicidade de armazenamento no SEINUC.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Ferramentas do Usuário:</w:t>
      </w:r>
      <w:r>
        <w:rPr>
          <w:rFonts w:ascii="Times New Roman" w:hAnsi="Times New Roman"/>
          <w:b w:val="0"/>
          <w:i w:val="0"/>
          <w:sz w:val="24"/>
        </w:rPr>
        <w:t xml:space="preserve"> Consulta por atributos, medição de áreas/distâncias, alternância de mapas de fundo (satélite/topográfico) e exportação de mapas em PDF.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2.2. Módulo B - Repositório e Consulta Documental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Funcionalidade:</w:t>
      </w:r>
      <w:r>
        <w:rPr>
          <w:rFonts w:ascii="Times New Roman" w:hAnsi="Times New Roman"/>
          <w:b w:val="0"/>
          <w:i w:val="0"/>
          <w:sz w:val="24"/>
        </w:rPr>
        <w:t xml:space="preserve"> Mecanismo de busca textual e download público de documentos oficiais vinculados às UCs.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Acervo Disponível: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Atos Legais de Criação (Leis e Decretos).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Planos de Gestão (equivalentes ao plano de manejo federal — art. 2º, XXII, da Lei nº 10.306/2023) em formato PDF pesquisável.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Portarias de instituição e Atas de Reuniões dos Conselhos Gestores.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Fichas de Caracterização Ambiental e Resumos Executivos.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2.3. Módulo C - Painel Transparente do ICMS Ecológico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Funcionalidade:</w:t>
      </w:r>
      <w:r>
        <w:rPr>
          <w:rFonts w:ascii="Times New Roman" w:hAnsi="Times New Roman"/>
          <w:b w:val="0"/>
          <w:i w:val="0"/>
          <w:sz w:val="24"/>
        </w:rPr>
        <w:t xml:space="preserve"> Painel de prestação de contas dos repasses ambientais aos municípios paraense.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Dados Publicizados: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Relação de municípios habilitados e indeferidos por exercício.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Extratos de Pontuação Provisória e Definitiva.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Fichas de Avaliação Técnica emitidas pela Comissão Técnica (CT-SEINUC).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Relatórios de Julgamento de Recursos Administrativos.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Rastreamento da destinação de ao menos 20% das verbas a UCs municipais (Art. 117 da Lei nº 10.306/2023).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2.4. Módulo D - Ficha da Unidade de Conservação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Funcionalidade:</w:t>
      </w:r>
      <w:r>
        <w:rPr>
          <w:rFonts w:ascii="Times New Roman" w:hAnsi="Times New Roman"/>
          <w:b w:val="0"/>
          <w:i w:val="0"/>
          <w:sz w:val="24"/>
        </w:rPr>
        <w:t xml:space="preserve"> "prontuário" individual de cada Unidade de Conservação, reunindo em uma única página todos os dados da UC para consulta pública fácil — de cada unidade, com acesso direto.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Estrutura da Ficha: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Cabeçalho da UC:</w:t>
      </w:r>
      <w:r>
        <w:rPr>
          <w:rFonts w:ascii="Times New Roman" w:hAnsi="Times New Roman"/>
          <w:b w:val="0"/>
          <w:i w:val="0"/>
          <w:sz w:val="24"/>
        </w:rPr>
        <w:t xml:space="preserve"> nome, categoria, grupo, bioma, área (ha), municípios, órgão gestor e </w:t>
      </w:r>
      <w:r>
        <w:rPr>
          <w:rFonts w:ascii="Times New Roman" w:hAnsi="Times New Roman"/>
          <w:b/>
          <w:i w:val="0"/>
          <w:sz w:val="24"/>
        </w:rPr>
        <w:t>gestor responsável</w:t>
      </w:r>
      <w:r>
        <w:rPr>
          <w:rFonts w:ascii="Times New Roman" w:hAnsi="Times New Roman"/>
          <w:b w:val="0"/>
          <w:i w:val="0"/>
          <w:sz w:val="24"/>
        </w:rPr>
        <w:t xml:space="preserve"> (nome/cargo institucional — nível técnico, LGPD).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Abas por Módulo:</w:t>
      </w:r>
      <w:r>
        <w:rPr>
          <w:rFonts w:ascii="Times New Roman" w:hAnsi="Times New Roman"/>
          <w:b w:val="0"/>
          <w:i w:val="0"/>
          <w:sz w:val="24"/>
        </w:rPr>
        <w:t xml:space="preserve"> Ambiental/Biodiversidade · Geotecnologias/Zonas de Amortecimento · Gestão (conselho + atas + Plano de Gestão) · Fundiária/Dominial e RPPNs.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Mapa da unidade:</w:t>
      </w:r>
      <w:r>
        <w:rPr>
          <w:rFonts w:ascii="Times New Roman" w:hAnsi="Times New Roman"/>
          <w:b w:val="0"/>
          <w:i w:val="0"/>
          <w:sz w:val="24"/>
        </w:rPr>
        <w:t xml:space="preserve"> perímetro, Zona de Amortecimento, </w:t>
      </w:r>
      <w:r>
        <w:rPr>
          <w:rFonts w:ascii="Times New Roman" w:hAnsi="Times New Roman"/>
          <w:b/>
          <w:i w:val="0"/>
          <w:sz w:val="24"/>
        </w:rPr>
        <w:t>zoneamento interno (quando disponível)</w:t>
      </w:r>
      <w:r>
        <w:rPr>
          <w:rFonts w:ascii="Times New Roman" w:hAnsi="Times New Roman"/>
          <w:b w:val="0"/>
          <w:i w:val="0"/>
          <w:sz w:val="24"/>
        </w:rPr>
        <w:t xml:space="preserve"> e </w:t>
      </w:r>
      <w:r>
        <w:rPr>
          <w:rFonts w:ascii="Times New Roman" w:hAnsi="Times New Roman"/>
          <w:b/>
          <w:i w:val="0"/>
          <w:sz w:val="24"/>
        </w:rPr>
        <w:t>sobreposições com UCs federais (camada de referência ICMBio)</w:t>
      </w:r>
      <w:r>
        <w:rPr>
          <w:rFonts w:ascii="Times New Roman" w:hAnsi="Times New Roman"/>
          <w:b w:val="0"/>
          <w:i w:val="0"/>
          <w:sz w:val="24"/>
        </w:rPr>
        <w:t>; download dos vetores em GPKG/GeoJSON.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Documentos:</w:t>
      </w:r>
      <w:r>
        <w:rPr>
          <w:rFonts w:ascii="Times New Roman" w:hAnsi="Times New Roman"/>
          <w:b w:val="0"/>
          <w:i w:val="0"/>
          <w:sz w:val="24"/>
        </w:rPr>
        <w:t xml:space="preserve"> dossiê do processo de criação, Plano de Gestão (versões/estudos complementares), atas e portarias do conselho, e demais arquivos públicos.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Conselho Gestor:</w:t>
      </w:r>
      <w:r>
        <w:rPr>
          <w:rFonts w:ascii="Times New Roman" w:hAnsi="Times New Roman"/>
          <w:b w:val="0"/>
          <w:i w:val="0"/>
          <w:sz w:val="24"/>
        </w:rPr>
        <w:t xml:space="preserve"> composição (membros, segmento e mandato), cronogramas e atas.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Finanças &amp; CCA:</w:t>
      </w:r>
      <w:r>
        <w:rPr>
          <w:rFonts w:ascii="Times New Roman" w:hAnsi="Times New Roman"/>
          <w:b w:val="0"/>
          <w:i w:val="0"/>
          <w:sz w:val="24"/>
        </w:rPr>
        <w:t xml:space="preserve"> estratégia financeira, recursos disponíveis e planos de aplicação aprovados na Câmara de Compensação Ambiental (nível técnico).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Projetos, Cooperações e Concessões:</w:t>
      </w:r>
      <w:r>
        <w:rPr>
          <w:rFonts w:ascii="Times New Roman" w:hAnsi="Times New Roman"/>
          <w:b w:val="0"/>
          <w:i w:val="0"/>
          <w:sz w:val="24"/>
        </w:rPr>
        <w:t xml:space="preserve"> projetos/programas em execução, Termos de Cooperação Técnica e concessões (manejo, restauração, PROSAF, visitação).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Linha do tempo:</w:t>
      </w:r>
      <w:r>
        <w:rPr>
          <w:rFonts w:ascii="Times New Roman" w:hAnsi="Times New Roman"/>
          <w:b w:val="0"/>
          <w:i w:val="0"/>
          <w:sz w:val="24"/>
        </w:rPr>
        <w:t xml:space="preserve"> evolução da UC (criação → consulta pública → plano → alterações) e status de prazos (arts. 112/114).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Indicadores:</w:t>
      </w:r>
      <w:r>
        <w:rPr>
          <w:rFonts w:ascii="Times New Roman" w:hAnsi="Times New Roman"/>
          <w:b w:val="0"/>
          <w:i w:val="0"/>
          <w:sz w:val="24"/>
        </w:rPr>
        <w:t xml:space="preserve"> efetividade de gestão, visitação/receita e relatórios anuais/quadrienais (art. 113).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Níveis de Acesso e Salvaguardas:</w:t>
      </w:r>
      <w:r>
        <w:rPr>
          <w:rFonts w:ascii="Times New Roman" w:hAnsi="Times New Roman"/>
          <w:b w:val="0"/>
          <w:i w:val="0"/>
          <w:sz w:val="24"/>
        </w:rPr>
        <w:t xml:space="preserve"> a Ficha pública exibe apenas a </w:t>
      </w:r>
      <w:r>
        <w:rPr>
          <w:rFonts w:ascii="Times New Roman" w:hAnsi="Times New Roman"/>
          <w:b/>
          <w:i w:val="0"/>
          <w:sz w:val="24"/>
        </w:rPr>
        <w:t>visão de consulta</w:t>
      </w:r>
      <w:r>
        <w:rPr>
          <w:rFonts w:ascii="Times New Roman" w:hAnsi="Times New Roman"/>
          <w:b w:val="0"/>
          <w:i w:val="0"/>
          <w:sz w:val="24"/>
        </w:rPr>
        <w:t xml:space="preserve">; dados de espécies criticamente ameaçadas (CR) seguem </w:t>
      </w:r>
      <w:r>
        <w:rPr>
          <w:rFonts w:ascii="Times New Roman" w:hAnsi="Times New Roman"/>
          <w:b/>
          <w:i w:val="0"/>
          <w:sz w:val="24"/>
        </w:rPr>
        <w:t>mascarados</w:t>
      </w:r>
      <w:r>
        <w:rPr>
          <w:rFonts w:ascii="Times New Roman" w:hAnsi="Times New Roman"/>
          <w:b w:val="0"/>
          <w:i w:val="0"/>
          <w:sz w:val="24"/>
        </w:rPr>
        <w:t xml:space="preserve">; dados pessoais de gestores/conselheiros (CPF, telefone, endereço) e matrículas de RPPN ficam restritos ao </w:t>
      </w:r>
      <w:r>
        <w:rPr>
          <w:rFonts w:ascii="Times New Roman" w:hAnsi="Times New Roman"/>
          <w:b/>
          <w:i w:val="0"/>
          <w:sz w:val="24"/>
        </w:rPr>
        <w:t>nível técnico</w:t>
      </w:r>
      <w:r>
        <w:rPr>
          <w:rFonts w:ascii="Times New Roman" w:hAnsi="Times New Roman"/>
          <w:b w:val="0"/>
          <w:i w:val="0"/>
          <w:sz w:val="24"/>
        </w:rPr>
        <w:t xml:space="preserve"> (LGPD e tutela da privacidade).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3. Geoserviços OGC e Integração com a Cartografia Oficial do Estado (Art. 111 da Lei 10.306/23 e Art. 13 do Decreto)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Em estrito cumprimento ao </w:t>
      </w:r>
      <w:r>
        <w:rPr>
          <w:rFonts w:ascii="Times New Roman" w:hAnsi="Times New Roman"/>
          <w:b/>
          <w:i w:val="0"/>
          <w:sz w:val="24"/>
        </w:rPr>
        <w:t>Art. 111 da Lei Estadual nº 10.306/2023</w:t>
      </w:r>
      <w:r>
        <w:rPr>
          <w:rFonts w:ascii="Times New Roman" w:hAnsi="Times New Roman"/>
          <w:b w:val="0"/>
          <w:i w:val="0"/>
          <w:sz w:val="24"/>
        </w:rPr>
        <w:t xml:space="preserve"> e ao </w:t>
      </w:r>
      <w:r>
        <w:rPr>
          <w:rFonts w:ascii="Times New Roman" w:hAnsi="Times New Roman"/>
          <w:b/>
          <w:i w:val="0"/>
          <w:sz w:val="24"/>
        </w:rPr>
        <w:t>Art. 13 do Decreto Regulamentador</w:t>
      </w:r>
      <w:r>
        <w:rPr>
          <w:rFonts w:ascii="Times New Roman" w:hAnsi="Times New Roman"/>
          <w:b w:val="0"/>
          <w:i w:val="0"/>
          <w:sz w:val="24"/>
        </w:rPr>
        <w:t xml:space="preserve">, as bases de dados geográficos do SEINUC/PA serão disponibilizadas por ciclo anual (com atualização contínua intra-ciclo) via geoserviços padronizados pela </w:t>
      </w:r>
      <w:r>
        <w:rPr>
          <w:rFonts w:ascii="Times New Roman" w:hAnsi="Times New Roman"/>
          <w:b w:val="0"/>
          <w:i/>
          <w:sz w:val="24"/>
        </w:rPr>
        <w:t>Open Geospatial Consortium (OGC)</w:t>
      </w:r>
      <w:r>
        <w:rPr>
          <w:rFonts w:ascii="Times New Roman" w:hAnsi="Times New Roman"/>
          <w:b w:val="0"/>
          <w:i w:val="0"/>
          <w:sz w:val="24"/>
        </w:rPr>
        <w:t xml:space="preserve"> para consumo obrigatório pelos geoportais oficiais do Estado do Pará (SIEPA, ITERPA, SEMAS e SEFA).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3.1. Especificação dos Geoserviços OGC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Serviço OGC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Versão Padrão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Endpoint de Acesso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Finalidade e Aplicação na Cartografia Oficial</w:t>
            </w:r>
          </w:p>
        </w:tc>
      </w:tr>
      <w:tr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WMS (Web Map Service)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1.3.0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https://seinuc.ideflor.pa.gov.br/geoserver/wms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Renderização de mapas dinâmicos e camadas visuais das UCs na confecção das cartas e mapas oficiais do Governo do Estado do Pará.</w:t>
            </w:r>
          </w:p>
        </w:tc>
      </w:tr>
      <w:tr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WFS (Web Feature Service)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2.0.0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https://seinuc.ideflor.pa.gov.br/geoserver/wfs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Download e consumo de vetores brutos em formatos abertos (</w:t>
            </w:r>
            <w:r>
              <w:rPr>
                <w:rFonts w:ascii="Consolas" w:hAnsi="Consolas"/>
                <w:color w:val="003366"/>
                <w:sz w:val="20"/>
              </w:rPr>
              <w:t>GeoJSON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Shapefile zip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 xml:space="preserve">, </w:t>
            </w:r>
            <w:r>
              <w:rPr>
                <w:rFonts w:ascii="Consolas" w:hAnsi="Consolas"/>
                <w:color w:val="003366"/>
                <w:sz w:val="20"/>
              </w:rPr>
              <w:t>KML</w:t>
            </w:r>
            <w:r>
              <w:rPr>
                <w:rFonts w:ascii="Times New Roman" w:hAnsi="Times New Roman"/>
                <w:b w:val="0"/>
                <w:i w:val="0"/>
                <w:sz w:val="20"/>
              </w:rPr>
              <w:t>) por órgãos ambientais, pesquisadores e sistemas parceiros.</w:t>
            </w:r>
          </w:p>
        </w:tc>
      </w:tr>
      <w:tr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WCS (Web Coverage Service)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2.0.1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https://seinuc.ideflor.pa.gov.br/geoserver/wcs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Transmissão de dados raster e modelos digitais de elevação de UCs quando aplicável.</w:t>
            </w:r>
          </w:p>
        </w:tc>
      </w:tr>
      <w:tr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CSW (Catalog Service for the Web)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2.0.2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https://seinuc.ideflor.pa.gov.br/geoserver/csw</w:t>
            </w:r>
          </w:p>
        </w:tc>
        <w:tc>
          <w:tcPr>
            <w:tcW w:type="dxa" w:w="2351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Descoberta e catálogo estandardizado de metadados geográficos junto à INDE.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3.2. Padrão de Metadados Geográficos (Perfil MGB / INDE)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Todos os conjuntos de dados geográficos do SEINUC/PA serão catalogados segundo o </w:t>
      </w:r>
      <w:r>
        <w:rPr>
          <w:rFonts w:ascii="Times New Roman" w:hAnsi="Times New Roman"/>
          <w:b/>
          <w:i w:val="0"/>
          <w:sz w:val="24"/>
        </w:rPr>
        <w:t>Perfil de Metadados Geográficos do Brasil (MGB)</w:t>
      </w:r>
      <w:r>
        <w:rPr>
          <w:rFonts w:ascii="Times New Roman" w:hAnsi="Times New Roman"/>
          <w:b w:val="0"/>
          <w:i w:val="0"/>
          <w:sz w:val="24"/>
        </w:rPr>
        <w:t xml:space="preserve"> da Infraestrutura Nacional de Dados Espaciais (INDE), contendo: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Linhagem e histórico do dado vetorial e UUID do conjunto de dados.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Sistema de Referência: SIRGAS 2000 (EPSG:4674).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Responsável técnico pelo mapeamento e periodicidade de atualização.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4. Diretrizes de Sigilo, Proteção da Biodiversidade, LGPD e SisGen (Art. 14 do Decreto)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A transparência pública no SEINUC/PA observará as ressalvas legais de proteção ao patrimônio biológico, à privacidade e ao patrimônio genético, nos termos do Art. 14 do Decreto Regulamentador, da Lei Geral de Proteção de Dados (Lei Federal nº 13.709/2018) e da Lei da Biodiversidade (Lei Federal nº 13.123/2015):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4.1. Resguardo da Biodiversidade (Proteção contra Biopirataria)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Regra de Mascaramento Espacial:</w:t>
      </w:r>
      <w:r>
        <w:rPr>
          <w:rFonts w:ascii="Times New Roman" w:hAnsi="Times New Roman"/>
          <w:b w:val="0"/>
          <w:i w:val="0"/>
          <w:sz w:val="24"/>
        </w:rPr>
        <w:t xml:space="preserve"> As coordenadas geográficas exatas de pontos de nidificação, avistamento ou ocorrência de espécies da fauna e flora criticamente ameaçadas de extinção (CR) suscetíveis à caça, ilícito ou biopirataria serão mascaradas no visualizador público e nos endpoints OGC.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Visualização Generalizada em Todos os Geoserviços:</w:t>
      </w:r>
      <w:r>
        <w:rPr>
          <w:rFonts w:ascii="Times New Roman" w:hAnsi="Times New Roman"/>
          <w:b w:val="0"/>
          <w:i w:val="0"/>
          <w:sz w:val="24"/>
        </w:rPr>
        <w:t xml:space="preserve"> Para o público geral, o dado de ocorrência sensível será exibido nos geoserviços públicos (WebGIS, WMS, WFS e WCS) por polígono de quadrícula regional generalizada (10 x 10 km), aplicando-se o mesmo filtro de generalização às requisições de consulta puntiforme (</w:t>
      </w:r>
      <w:r>
        <w:rPr>
          <w:rFonts w:ascii="Times New Roman" w:hAnsi="Times New Roman"/>
          <w:b w:val="0"/>
          <w:i/>
          <w:sz w:val="24"/>
        </w:rPr>
        <w:t>GetFeatureInfo</w:t>
      </w:r>
      <w:r>
        <w:rPr>
          <w:rFonts w:ascii="Times New Roman" w:hAnsi="Times New Roman"/>
          <w:b w:val="0"/>
          <w:i w:val="0"/>
          <w:sz w:val="24"/>
        </w:rPr>
        <w:t xml:space="preserve"> e </w:t>
      </w:r>
      <w:r>
        <w:rPr>
          <w:rFonts w:ascii="Times New Roman" w:hAnsi="Times New Roman"/>
          <w:b w:val="0"/>
          <w:i/>
          <w:sz w:val="24"/>
        </w:rPr>
        <w:t>GetFeature</w:t>
      </w:r>
      <w:r>
        <w:rPr>
          <w:rFonts w:ascii="Times New Roman" w:hAnsi="Times New Roman"/>
          <w:b w:val="0"/>
          <w:i w:val="0"/>
          <w:sz w:val="24"/>
        </w:rPr>
        <w:t>), mantendo a precisão exata restrita ao corpo técnico autorizado da SEMAS e IDEFLOR-Bio.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4.2. Conformidade com a LGPD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A Secretaria de Estado de Meio Ambiente e Sustentabilidade (SEMAS) atua na condição de </w:t>
      </w:r>
      <w:r>
        <w:rPr>
          <w:rFonts w:ascii="Times New Roman" w:hAnsi="Times New Roman"/>
          <w:b/>
          <w:i w:val="0"/>
          <w:sz w:val="24"/>
        </w:rPr>
        <w:t>Controladora</w:t>
      </w:r>
      <w:r>
        <w:rPr>
          <w:rFonts w:ascii="Times New Roman" w:hAnsi="Times New Roman"/>
          <w:b w:val="0"/>
          <w:i w:val="0"/>
          <w:sz w:val="24"/>
        </w:rPr>
        <w:t xml:space="preserve"> dos dados e o IDEFLOR-Bio como </w:t>
      </w:r>
      <w:r>
        <w:rPr>
          <w:rFonts w:ascii="Times New Roman" w:hAnsi="Times New Roman"/>
          <w:b/>
          <w:i w:val="0"/>
          <w:sz w:val="24"/>
        </w:rPr>
        <w:t>Operador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Os dados pessoais de conselheiros civis ou gestores (CPF, telefone pessoal, endereço residencial) serão tarjados e anonimizados nos documentos públicos colocados para download, preservando-se a identificação institucional e o nome completo.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4.3. Conformidade com a Lei do Patrimônio Genético (SisGen)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>• As informações relativas a acessos ao patrimônio genético e conhecimento tradicional associado em Unidades de Conservação observarão as salvaguardas da Lei Federal nº 13.123/2015 e os registros oficiais do Sistema Nacional de Gestão do Patrimônio Genético e do Conhecimento Tradicional Associado (SisGen).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5. Anexo Técnico — Fontes de Referência e Regras de Publicação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5.1. Camadas de Referência Federais (ICMBio/INDE)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As Unidades de Conservação </w:t>
      </w:r>
      <w:r>
        <w:rPr>
          <w:rFonts w:ascii="Times New Roman" w:hAnsi="Times New Roman"/>
          <w:b/>
          <w:i w:val="0"/>
          <w:sz w:val="24"/>
        </w:rPr>
        <w:t>federais</w:t>
      </w:r>
      <w:r>
        <w:rPr>
          <w:rFonts w:ascii="Times New Roman" w:hAnsi="Times New Roman"/>
          <w:b w:val="0"/>
          <w:i w:val="0"/>
          <w:sz w:val="24"/>
        </w:rPr>
        <w:t xml:space="preserve"> localizadas no Pará </w:t>
      </w:r>
      <w:r>
        <w:rPr>
          <w:rFonts w:ascii="Times New Roman" w:hAnsi="Times New Roman"/>
          <w:b/>
          <w:i w:val="0"/>
          <w:sz w:val="24"/>
        </w:rPr>
        <w:t>não integram o banco oficial do SEINUC</w:t>
      </w:r>
      <w:r>
        <w:rPr>
          <w:rFonts w:ascii="Times New Roman" w:hAnsi="Times New Roman"/>
          <w:b w:val="0"/>
          <w:i w:val="0"/>
          <w:sz w:val="24"/>
        </w:rPr>
        <w:t xml:space="preserve"> (o art. 67 da Lei nº 10.306/2023 trata das UCs estaduais); são exibidas como </w:t>
      </w:r>
      <w:r>
        <w:rPr>
          <w:rFonts w:ascii="Times New Roman" w:hAnsi="Times New Roman"/>
          <w:b/>
          <w:i w:val="0"/>
          <w:sz w:val="24"/>
        </w:rPr>
        <w:t>camadas de referência</w:t>
      </w:r>
      <w:r>
        <w:rPr>
          <w:rFonts w:ascii="Times New Roman" w:hAnsi="Times New Roman"/>
          <w:b w:val="0"/>
          <w:i w:val="0"/>
          <w:sz w:val="24"/>
        </w:rPr>
        <w:t xml:space="preserve"> consumidas dos geoserviços públicos do órgão gestor federal: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Serviço</w:t>
            </w:r>
          </w:p>
        </w:tc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Versão</w:t>
            </w:r>
          </w:p>
        </w:tc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 w:val="0"/>
                <w:sz w:val="20"/>
              </w:rPr>
              <w:t>Endpoint (GetCapabilities)</w:t>
            </w:r>
          </w:p>
        </w:tc>
      </w:tr>
      <w:tr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WFS ICMBio</w:t>
            </w:r>
          </w:p>
        </w:tc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2.0.0</w:t>
            </w:r>
          </w:p>
        </w:tc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https://geoservicos.inde.gov.br/geoserver/ICMBio/ows?service=wfs&amp;version=2.0.0&amp;request=GetCapabilities</w:t>
            </w:r>
          </w:p>
        </w:tc>
      </w:tr>
      <w:tr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/>
                <w:i w:val="0"/>
                <w:sz w:val="20"/>
              </w:rPr>
              <w:t>WMS ICMBio</w:t>
            </w:r>
          </w:p>
        </w:tc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1.3.0</w:t>
            </w:r>
          </w:p>
        </w:tc>
        <w:tc>
          <w:tcPr>
            <w:tcW w:type="dxa" w:w="313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40" w:after="40"/>
              <w:ind w:firstLine="0"/>
              <w:jc w:val="left"/>
            </w:pPr>
            <w:r>
              <w:rPr>
                <w:rFonts w:ascii="Consolas" w:hAnsi="Consolas"/>
                <w:color w:val="003366"/>
                <w:sz w:val="20"/>
              </w:rPr>
              <w:t>https://geoservicos.inde.gov.br/geoserver/ICMBio/ows?service=wms&amp;version=1.3.0&amp;request=GetCapabilities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Aplicação:</w:t>
      </w:r>
      <w:r>
        <w:rPr>
          <w:rFonts w:ascii="Times New Roman" w:hAnsi="Times New Roman"/>
          <w:b w:val="0"/>
          <w:i w:val="0"/>
          <w:sz w:val="24"/>
        </w:rPr>
        <w:t xml:space="preserve"> camada de fundo no Módulo A e destaque de "sobreposição com UC federal" na Ficha da Unidade (Módulo D).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Ressalva técnica:</w:t>
      </w:r>
      <w:r>
        <w:rPr>
          <w:rFonts w:ascii="Times New Roman" w:hAnsi="Times New Roman"/>
          <w:b w:val="0"/>
          <w:i w:val="0"/>
          <w:sz w:val="24"/>
        </w:rPr>
        <w:t xml:space="preserve"> por serem fontes externas, recomenda-se </w:t>
      </w:r>
      <w:r>
        <w:rPr>
          <w:rFonts w:ascii="Times New Roman" w:hAnsi="Times New Roman"/>
          <w:b/>
          <w:i w:val="0"/>
          <w:sz w:val="24"/>
        </w:rPr>
        <w:t>cache local</w:t>
      </w:r>
      <w:r>
        <w:rPr>
          <w:rFonts w:ascii="Times New Roman" w:hAnsi="Times New Roman"/>
          <w:b w:val="0"/>
          <w:i w:val="0"/>
          <w:sz w:val="24"/>
        </w:rPr>
        <w:t xml:space="preserve"> com política de atualização e mecanismo de </w:t>
      </w:r>
      <w:r>
        <w:rPr>
          <w:rFonts w:ascii="Times New Roman" w:hAnsi="Times New Roman"/>
          <w:b w:val="0"/>
          <w:i/>
          <w:sz w:val="24"/>
        </w:rPr>
        <w:t>fallback</w:t>
      </w:r>
      <w:r>
        <w:rPr>
          <w:rFonts w:ascii="Times New Roman" w:hAnsi="Times New Roman"/>
          <w:b w:val="0"/>
          <w:i w:val="0"/>
          <w:sz w:val="24"/>
        </w:rPr>
        <w:t xml:space="preserve"> em caso de indisponibilidade da INDE.</w:t>
      </w:r>
    </w:p>
    <w:p>
      <w:pPr>
        <w:spacing w:line="360" w:lineRule="auto" w:before="120" w:after="120"/>
        <w:ind w:firstLine="0"/>
        <w:jc w:val="left"/>
      </w:pPr>
      <w:r>
        <w:rPr>
          <w:rFonts w:ascii="Times New Roman" w:hAnsi="Times New Roman"/>
          <w:b/>
          <w:i/>
          <w:sz w:val="24"/>
        </w:rPr>
        <w:t>5.2. Regra de Publicação do Zoneamento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A camada de zoneamento interno será publicada nos geoserviços (WMS/WFS) e na Ficha da Unidade </w:t>
      </w:r>
      <w:r>
        <w:rPr>
          <w:rFonts w:ascii="Times New Roman" w:hAnsi="Times New Roman"/>
          <w:b/>
          <w:i w:val="0"/>
          <w:sz w:val="24"/>
        </w:rPr>
        <w:t>somente quando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Consolas" w:hAnsi="Consolas"/>
          <w:color w:val="003366"/>
          <w:sz w:val="20"/>
        </w:rPr>
        <w:t>zoneamento_disponivel = SIM</w:t>
      </w:r>
      <w:r>
        <w:rPr>
          <w:rFonts w:ascii="Times New Roman" w:hAnsi="Times New Roman"/>
          <w:b w:val="0"/>
          <w:i w:val="0"/>
          <w:sz w:val="24"/>
        </w:rPr>
        <w:t xml:space="preserve"> (a UC possui Plano de Gestão aprovado). Nas UCs sem Plano de Gestão, permanecem visíveis apenas o perímetro e a Zona de Amortecimento, com a indicação </w:t>
      </w:r>
      <w:r>
        <w:rPr>
          <w:rFonts w:ascii="Times New Roman" w:hAnsi="Times New Roman"/>
          <w:b/>
          <w:i w:val="0"/>
          <w:sz w:val="24"/>
        </w:rPr>
        <w:t>"UC sem Plano de Gestão — zoneamento não disponível"</w:t>
      </w:r>
      <w:r>
        <w:rPr>
          <w:rFonts w:ascii="Times New Roman" w:hAnsi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701" w:right="1134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color w:val="787878"/>
        <w:sz w:val="17"/>
      </w:rPr>
      <w:t>Documento Oficial de Regulamentação e Especificação Técnica • Especificacao Portal Transparencia Ogc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color w:val="787878"/>
        <w:sz w:val="17"/>
      </w:rPr>
      <w:t>SEINUC/PA — GOVERNO DO ESTADO DO PARÁ / IDEFLOR-Bio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